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3491">
      <w:pPr>
        <w:ind w:right="-286" w:rightChars="-136"/>
        <w:jc w:val="center"/>
        <w:rPr>
          <w:rFonts w:hint="eastAsia" w:ascii="黑体" w:hAnsi="宋体" w:eastAsia="黑体"/>
          <w:sz w:val="80"/>
          <w:szCs w:val="80"/>
        </w:rPr>
      </w:pPr>
    </w:p>
    <w:p w14:paraId="12C6B849">
      <w:pPr>
        <w:ind w:right="-286" w:rightChars="-136"/>
        <w:jc w:val="center"/>
        <w:rPr>
          <w:rFonts w:hint="eastAsia" w:ascii="黑体" w:hAnsi="宋体" w:eastAsia="黑体"/>
          <w:sz w:val="80"/>
          <w:szCs w:val="80"/>
        </w:rPr>
      </w:pPr>
    </w:p>
    <w:p w14:paraId="0EF3092B">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w:t>
      </w:r>
    </w:p>
    <w:p w14:paraId="1420C15E">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山东路-鞍山路东北象限连接匝道及地下停车场路灯回迁劳务服务采购项目</w:t>
      </w:r>
    </w:p>
    <w:p w14:paraId="1C0AA041">
      <w:pPr>
        <w:jc w:val="center"/>
        <w:rPr>
          <w:rFonts w:ascii="黑体" w:hAnsi="宋体" w:eastAsia="黑体"/>
          <w:bCs/>
          <w:sz w:val="24"/>
        </w:rPr>
      </w:pPr>
    </w:p>
    <w:p w14:paraId="73204A5B">
      <w:pPr>
        <w:jc w:val="center"/>
        <w:rPr>
          <w:rFonts w:ascii="黑体" w:hAnsi="宋体" w:eastAsia="黑体"/>
          <w:sz w:val="80"/>
          <w:szCs w:val="80"/>
        </w:rPr>
      </w:pPr>
      <w:r>
        <w:rPr>
          <w:rFonts w:hint="eastAsia" w:ascii="黑体" w:hAnsi="宋体" w:eastAsia="黑体"/>
          <w:sz w:val="80"/>
          <w:szCs w:val="80"/>
        </w:rPr>
        <w:t>询价函</w:t>
      </w:r>
    </w:p>
    <w:p w14:paraId="33017922">
      <w:pPr>
        <w:jc w:val="center"/>
        <w:rPr>
          <w:rFonts w:hint="eastAsia" w:ascii="黑体" w:hAnsi="宋体" w:eastAsia="黑体"/>
          <w:bCs/>
          <w:sz w:val="24"/>
        </w:rPr>
      </w:pPr>
    </w:p>
    <w:p w14:paraId="275A2635">
      <w:pPr>
        <w:jc w:val="center"/>
        <w:rPr>
          <w:rFonts w:hint="eastAsia" w:ascii="黑体" w:hAnsi="宋体" w:eastAsia="黑体"/>
          <w:bCs/>
          <w:sz w:val="24"/>
        </w:rPr>
      </w:pPr>
    </w:p>
    <w:p w14:paraId="2713CFF1">
      <w:pPr>
        <w:jc w:val="center"/>
        <w:rPr>
          <w:rFonts w:ascii="黑体" w:hAnsi="宋体" w:eastAsia="黑体"/>
          <w:bCs/>
          <w:sz w:val="24"/>
        </w:rPr>
      </w:pPr>
    </w:p>
    <w:p w14:paraId="314B7D8F">
      <w:pPr>
        <w:jc w:val="center"/>
        <w:rPr>
          <w:rFonts w:ascii="黑体" w:hAnsi="宋体" w:eastAsia="黑体"/>
          <w:bCs/>
          <w:sz w:val="24"/>
        </w:rPr>
      </w:pPr>
    </w:p>
    <w:p w14:paraId="5F355BC5">
      <w:pPr>
        <w:jc w:val="center"/>
        <w:rPr>
          <w:rFonts w:ascii="黑体" w:hAnsi="宋体" w:eastAsia="黑体"/>
          <w:bCs/>
          <w:sz w:val="24"/>
        </w:rPr>
      </w:pPr>
    </w:p>
    <w:p w14:paraId="0C08EDAE">
      <w:pPr>
        <w:jc w:val="center"/>
        <w:rPr>
          <w:rFonts w:ascii="黑体" w:hAnsi="宋体" w:eastAsia="黑体"/>
          <w:bCs/>
          <w:sz w:val="24"/>
        </w:rPr>
      </w:pPr>
    </w:p>
    <w:p w14:paraId="3204AABD">
      <w:pPr>
        <w:jc w:val="center"/>
        <w:rPr>
          <w:rFonts w:hint="eastAsia" w:ascii="黑体" w:hAnsi="宋体" w:eastAsia="黑体"/>
          <w:bCs/>
          <w:sz w:val="24"/>
        </w:rPr>
      </w:pPr>
    </w:p>
    <w:p w14:paraId="492084D2">
      <w:pPr>
        <w:jc w:val="center"/>
        <w:rPr>
          <w:rFonts w:hint="eastAsia" w:ascii="黑体" w:hAnsi="宋体" w:eastAsia="黑体"/>
          <w:bCs/>
          <w:sz w:val="24"/>
        </w:rPr>
      </w:pPr>
    </w:p>
    <w:p w14:paraId="0A6A99A1">
      <w:pPr>
        <w:jc w:val="center"/>
        <w:rPr>
          <w:rFonts w:hint="eastAsia" w:ascii="黑体" w:hAnsi="宋体" w:eastAsia="黑体"/>
          <w:bCs/>
          <w:sz w:val="24"/>
        </w:rPr>
      </w:pPr>
    </w:p>
    <w:p w14:paraId="52E0D1FF">
      <w:pPr>
        <w:jc w:val="center"/>
        <w:rPr>
          <w:rFonts w:hint="eastAsia" w:ascii="黑体" w:hAnsi="宋体" w:eastAsia="黑体"/>
          <w:bCs/>
          <w:sz w:val="24"/>
        </w:rPr>
      </w:pPr>
    </w:p>
    <w:p w14:paraId="3C5BB16D">
      <w:pPr>
        <w:jc w:val="center"/>
        <w:rPr>
          <w:rFonts w:hint="eastAsia" w:ascii="黑体" w:hAnsi="宋体" w:eastAsia="黑体"/>
          <w:bCs/>
          <w:sz w:val="24"/>
        </w:rPr>
      </w:pPr>
    </w:p>
    <w:p w14:paraId="7C2F4671">
      <w:pPr>
        <w:jc w:val="center"/>
        <w:rPr>
          <w:rFonts w:hint="eastAsia" w:ascii="黑体" w:hAnsi="宋体" w:eastAsia="黑体"/>
          <w:bCs/>
          <w:sz w:val="24"/>
        </w:rPr>
      </w:pPr>
    </w:p>
    <w:p w14:paraId="78CEA6D2">
      <w:pPr>
        <w:jc w:val="center"/>
        <w:rPr>
          <w:rFonts w:hint="eastAsia" w:ascii="黑体" w:hAnsi="宋体" w:eastAsia="黑体"/>
          <w:bCs/>
          <w:sz w:val="24"/>
        </w:rPr>
      </w:pPr>
    </w:p>
    <w:p w14:paraId="09CC79A2">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lang w:eastAsia="zh-CN"/>
        </w:rPr>
        <w:t>青岛诚光城市照明工程有限公司</w:t>
      </w:r>
      <w:r>
        <w:rPr>
          <w:rFonts w:hint="eastAsia" w:ascii="黑体" w:hAnsi="宋体" w:eastAsia="黑体"/>
          <w:sz w:val="32"/>
          <w:szCs w:val="32"/>
          <w:u w:val="single"/>
          <w:lang w:val="en-US" w:eastAsia="zh-CN"/>
        </w:rPr>
        <w:t xml:space="preserve">  </w:t>
      </w:r>
    </w:p>
    <w:p w14:paraId="4CB4232A">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七</w:t>
      </w:r>
      <w:r>
        <w:rPr>
          <w:rFonts w:hint="eastAsia" w:ascii="黑体" w:hAnsi="宋体" w:eastAsia="黑体"/>
          <w:sz w:val="32"/>
          <w:szCs w:val="32"/>
          <w:u w:val="single"/>
        </w:rPr>
        <w:t xml:space="preserve">月  </w:t>
      </w:r>
    </w:p>
    <w:p w14:paraId="65EA9D49">
      <w:pPr>
        <w:spacing w:before="100" w:beforeAutospacing="1" w:after="100" w:afterAutospacing="1" w:line="440" w:lineRule="exact"/>
        <w:jc w:val="center"/>
        <w:rPr>
          <w:rFonts w:hint="eastAsia" w:ascii="宋体" w:hAnsi="宋体"/>
          <w:b/>
          <w:spacing w:val="-2"/>
          <w:sz w:val="36"/>
          <w:szCs w:val="36"/>
        </w:rPr>
      </w:pPr>
    </w:p>
    <w:p w14:paraId="7AAA7DD4">
      <w:pPr>
        <w:spacing w:before="100" w:beforeAutospacing="1" w:after="100" w:afterAutospacing="1" w:line="440" w:lineRule="exact"/>
        <w:jc w:val="center"/>
        <w:rPr>
          <w:rFonts w:hint="eastAsia" w:ascii="宋体" w:hAnsi="宋体"/>
          <w:b/>
          <w:spacing w:val="-2"/>
          <w:sz w:val="36"/>
          <w:szCs w:val="36"/>
        </w:rPr>
      </w:pPr>
    </w:p>
    <w:p w14:paraId="40A9D497">
      <w:pPr>
        <w:spacing w:before="100" w:beforeAutospacing="1" w:after="100" w:afterAutospacing="1" w:line="440" w:lineRule="exact"/>
        <w:jc w:val="both"/>
        <w:rPr>
          <w:rFonts w:hint="eastAsia" w:ascii="宋体" w:hAnsi="宋体"/>
          <w:b/>
          <w:spacing w:val="-2"/>
          <w:sz w:val="36"/>
          <w:szCs w:val="36"/>
        </w:rPr>
      </w:pPr>
    </w:p>
    <w:p w14:paraId="3E7F1EB6">
      <w:pPr>
        <w:spacing w:before="100" w:beforeAutospacing="1" w:after="100" w:afterAutospacing="1" w:line="440" w:lineRule="exact"/>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青岛诚光城市照明工程有限公司山东路-鞍山路东北象限连接匝道及地下停车场路灯回迁劳务服务采购项目</w:t>
      </w:r>
    </w:p>
    <w:p w14:paraId="7E7D2DFB">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询价函</w:t>
      </w:r>
    </w:p>
    <w:tbl>
      <w:tblPr>
        <w:tblStyle w:val="8"/>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0F8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9" w:hRule="atLeast"/>
        </w:trPr>
        <w:tc>
          <w:tcPr>
            <w:tcW w:w="9368" w:type="dxa"/>
            <w:gridSpan w:val="5"/>
            <w:noWrap w:val="0"/>
            <w:vAlign w:val="center"/>
          </w:tcPr>
          <w:p w14:paraId="3F3F04AA">
            <w:pPr>
              <w:spacing w:before="100" w:beforeAutospacing="1" w:after="100" w:afterAutospacing="1" w:line="440" w:lineRule="exact"/>
              <w:ind w:firstLine="480" w:firstLineChars="200"/>
              <w:jc w:val="left"/>
              <w:rPr>
                <w:rFonts w:hint="eastAsia" w:ascii="仿宋_GB2312" w:hAnsi="宋体" w:eastAsia="仿宋_GB2312"/>
                <w:sz w:val="24"/>
              </w:rPr>
            </w:pPr>
            <w:r>
              <w:rPr>
                <w:rFonts w:hint="eastAsia" w:ascii="仿宋_GB2312" w:hAnsi="Calibri" w:eastAsia="仿宋_GB2312" w:cs="微软雅黑"/>
                <w:kern w:val="0"/>
                <w:sz w:val="24"/>
                <w:szCs w:val="24"/>
                <w:highlight w:val="none"/>
                <w:lang w:val="en-US" w:eastAsia="zh-CN"/>
              </w:rPr>
              <w:t>青岛诚光城市照明工程有限公司（以下简称“采购人”）对山东路-鞍山路东北象限连接匝道及地下停车场路灯回迁劳务服务采购项目进行询价采购，特邀请符合资质要求且有兴趣的单位参与该项目询价。如有意向，请于2025年7月30日9时之前提交询价响应文件至我单位。</w:t>
            </w:r>
          </w:p>
        </w:tc>
      </w:tr>
      <w:tr w14:paraId="076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3A8AE0DD">
            <w:pPr>
              <w:jc w:val="center"/>
              <w:rPr>
                <w:rFonts w:hint="eastAsia" w:ascii="仿宋_GB2312" w:eastAsia="仿宋_GB2312"/>
                <w:sz w:val="24"/>
                <w:szCs w:val="24"/>
              </w:rPr>
            </w:pPr>
            <w:r>
              <w:rPr>
                <w:rFonts w:hint="eastAsia" w:ascii="仿宋_GB2312" w:hAnsi="宋体" w:eastAsia="仿宋_GB2312"/>
                <w:sz w:val="24"/>
                <w:szCs w:val="24"/>
              </w:rPr>
              <w:t>项目名称</w:t>
            </w:r>
          </w:p>
        </w:tc>
        <w:tc>
          <w:tcPr>
            <w:tcW w:w="7837" w:type="dxa"/>
            <w:gridSpan w:val="4"/>
            <w:noWrap w:val="0"/>
            <w:vAlign w:val="center"/>
          </w:tcPr>
          <w:p w14:paraId="3CA1759B">
            <w:pPr>
              <w:spacing w:before="100" w:beforeAutospacing="1" w:after="100" w:afterAutospacing="1" w:line="440" w:lineRule="exact"/>
              <w:jc w:val="center"/>
              <w:rPr>
                <w:rFonts w:hint="eastAsia" w:ascii="仿宋_GB2312" w:hAnsi="宋体" w:eastAsia="仿宋_GB2312"/>
                <w:sz w:val="24"/>
                <w:szCs w:val="24"/>
              </w:rPr>
            </w:pPr>
            <w:r>
              <w:rPr>
                <w:rFonts w:hint="eastAsia" w:ascii="仿宋_GB2312" w:hAnsi="Calibri" w:eastAsia="仿宋_GB2312" w:cs="微软雅黑"/>
                <w:kern w:val="0"/>
                <w:sz w:val="24"/>
                <w:szCs w:val="24"/>
                <w:highlight w:val="none"/>
                <w:lang w:val="en-US" w:eastAsia="zh-CN"/>
              </w:rPr>
              <w:t>山东路-鞍山路东北象限连接匝道及地下停车场路灯回迁劳务服务采购项目</w:t>
            </w:r>
          </w:p>
        </w:tc>
      </w:tr>
      <w:tr w14:paraId="4C8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71876B5F">
            <w:pPr>
              <w:spacing w:line="480" w:lineRule="exact"/>
              <w:ind w:firstLine="480" w:firstLineChars="200"/>
              <w:rPr>
                <w:rFonts w:hint="eastAsia" w:ascii="仿宋_GB2312" w:hAnsi="宋体" w:eastAsia="仿宋_GB2312" w:cs="仿宋_GB2312"/>
                <w:sz w:val="24"/>
                <w:szCs w:val="24"/>
              </w:rPr>
            </w:pPr>
            <w:r>
              <w:rPr>
                <w:rFonts w:hint="eastAsia" w:ascii="仿宋_GB2312" w:hAnsi="宋体" w:eastAsia="仿宋_GB2312" w:cs="仿宋_GB2312"/>
                <w:sz w:val="24"/>
                <w:szCs w:val="24"/>
              </w:rPr>
              <w:t>1.采购内容：挖填沟槽土方</w:t>
            </w:r>
            <w:r>
              <w:rPr>
                <w:rFonts w:hint="eastAsia" w:ascii="仿宋_GB2312" w:hAnsi="宋体" w:eastAsia="仿宋_GB2312" w:cs="仿宋_GB2312"/>
                <w:sz w:val="24"/>
                <w:szCs w:val="24"/>
                <w:lang w:eastAsia="zh-CN"/>
              </w:rPr>
              <w:t>、</w:t>
            </w:r>
            <w:r>
              <w:rPr>
                <w:rFonts w:hint="eastAsia" w:ascii="仿宋_GB2312" w:hAnsi="宋体" w:eastAsia="仿宋_GB2312" w:cs="仿宋_GB2312"/>
                <w:sz w:val="24"/>
                <w:szCs w:val="24"/>
              </w:rPr>
              <w:t>路灯检查井制作</w:t>
            </w:r>
            <w:r>
              <w:rPr>
                <w:rFonts w:hint="eastAsia" w:ascii="仿宋_GB2312" w:hAnsi="宋体" w:eastAsia="仿宋_GB2312" w:cs="仿宋_GB2312"/>
                <w:sz w:val="24"/>
                <w:szCs w:val="24"/>
                <w:lang w:eastAsia="zh-CN"/>
              </w:rPr>
              <w:t>、</w:t>
            </w:r>
            <w:r>
              <w:rPr>
                <w:rFonts w:hint="eastAsia" w:ascii="仿宋_GB2312" w:hAnsi="宋体" w:eastAsia="仿宋_GB2312" w:cs="仿宋_GB2312"/>
                <w:sz w:val="24"/>
                <w:szCs w:val="24"/>
              </w:rPr>
              <w:t>混凝土基础浇筑</w:t>
            </w:r>
            <w:r>
              <w:rPr>
                <w:rFonts w:hint="eastAsia" w:ascii="仿宋_GB2312" w:hAnsi="宋体" w:eastAsia="仿宋_GB2312" w:cs="仿宋_GB2312"/>
                <w:sz w:val="24"/>
                <w:szCs w:val="24"/>
                <w:lang w:eastAsia="zh-CN"/>
              </w:rPr>
              <w:t>、</w:t>
            </w:r>
            <w:r>
              <w:rPr>
                <w:rFonts w:hint="eastAsia" w:ascii="仿宋_GB2312" w:hAnsi="宋体" w:eastAsia="仿宋_GB2312" w:cs="仿宋_GB2312"/>
                <w:sz w:val="24"/>
                <w:szCs w:val="24"/>
              </w:rPr>
              <w:t>电缆保护管敷设</w:t>
            </w:r>
            <w:r>
              <w:rPr>
                <w:rFonts w:hint="eastAsia" w:ascii="仿宋_GB2312" w:hAnsi="宋体" w:eastAsia="仿宋_GB2312" w:cs="仿宋_GB2312"/>
                <w:sz w:val="24"/>
                <w:szCs w:val="24"/>
                <w:lang w:eastAsia="zh-CN"/>
              </w:rPr>
              <w:t>、</w:t>
            </w:r>
            <w:r>
              <w:rPr>
                <w:rFonts w:hint="eastAsia" w:ascii="仿宋_GB2312" w:hAnsi="宋体" w:eastAsia="仿宋_GB2312" w:cs="仿宋_GB2312"/>
                <w:sz w:val="24"/>
                <w:szCs w:val="24"/>
              </w:rPr>
              <w:t>接地母线敷设</w:t>
            </w:r>
            <w:r>
              <w:rPr>
                <w:rFonts w:hint="eastAsia" w:ascii="仿宋_GB2312" w:hAnsi="宋体" w:eastAsia="仿宋_GB2312" w:cs="仿宋_GB2312"/>
                <w:sz w:val="24"/>
                <w:szCs w:val="24"/>
                <w:lang w:eastAsia="zh-CN"/>
              </w:rPr>
              <w:t>。</w:t>
            </w:r>
            <w:r>
              <w:rPr>
                <w:rFonts w:hint="eastAsia" w:ascii="仿宋_GB2312" w:hAnsi="宋体" w:eastAsia="仿宋_GB2312" w:cs="仿宋_GB2312"/>
                <w:sz w:val="24"/>
                <w:szCs w:val="24"/>
              </w:rPr>
              <w:t xml:space="preserve">  </w:t>
            </w:r>
          </w:p>
          <w:p w14:paraId="4643CA84">
            <w:pPr>
              <w:spacing w:line="480" w:lineRule="exact"/>
              <w:ind w:firstLine="480" w:firstLineChars="200"/>
              <w:rPr>
                <w:rFonts w:hint="eastAsia" w:ascii="仿宋_GB2312" w:eastAsia="仿宋_GB2312" w:cs="微软雅黑"/>
                <w:kern w:val="0"/>
                <w:sz w:val="24"/>
                <w:szCs w:val="24"/>
                <w:highlight w:val="none"/>
                <w:lang w:val="zh-CN"/>
              </w:rPr>
            </w:pPr>
            <w:r>
              <w:rPr>
                <w:rFonts w:hint="eastAsia" w:ascii="仿宋_GB2312" w:eastAsia="仿宋_GB2312"/>
                <w:sz w:val="24"/>
                <w:szCs w:val="24"/>
              </w:rPr>
              <w:t>2.采购预算：</w:t>
            </w:r>
            <w:r>
              <w:rPr>
                <w:rFonts w:hint="eastAsia" w:ascii="仿宋_GB2312" w:eastAsia="仿宋_GB2312"/>
                <w:sz w:val="24"/>
                <w:szCs w:val="24"/>
                <w:lang w:val="en-US" w:eastAsia="zh-CN"/>
              </w:rPr>
              <w:t>/</w:t>
            </w:r>
            <w:r>
              <w:rPr>
                <w:rFonts w:hint="eastAsia" w:ascii="仿宋_GB2312" w:eastAsia="仿宋_GB2312"/>
                <w:sz w:val="24"/>
                <w:szCs w:val="24"/>
                <w:highlight w:val="none"/>
              </w:rPr>
              <w:t>万元</w:t>
            </w:r>
            <w:r>
              <w:rPr>
                <w:rFonts w:hint="eastAsia" w:ascii="仿宋_GB2312" w:eastAsia="仿宋_GB2312" w:cs="微软雅黑"/>
                <w:kern w:val="0"/>
                <w:sz w:val="24"/>
                <w:szCs w:val="24"/>
                <w:highlight w:val="none"/>
                <w:lang w:val="zh-CN"/>
              </w:rPr>
              <w:t>。</w:t>
            </w:r>
          </w:p>
          <w:p w14:paraId="1FF01D00">
            <w:pPr>
              <w:spacing w:line="480" w:lineRule="exact"/>
              <w:ind w:firstLine="480" w:firstLineChars="200"/>
              <w:rPr>
                <w:rFonts w:hint="default" w:ascii="仿宋_GB2312" w:eastAsia="仿宋_GB2312" w:cs="微软雅黑"/>
                <w:kern w:val="0"/>
                <w:sz w:val="24"/>
                <w:szCs w:val="24"/>
                <w:highlight w:val="none"/>
                <w:lang w:val="en-US" w:eastAsia="zh-CN"/>
              </w:rPr>
            </w:pPr>
            <w:r>
              <w:rPr>
                <w:rFonts w:hint="eastAsia" w:ascii="仿宋_GB2312" w:eastAsia="仿宋_GB2312" w:cs="微软雅黑"/>
                <w:kern w:val="0"/>
                <w:sz w:val="24"/>
                <w:szCs w:val="24"/>
                <w:highlight w:val="none"/>
                <w:lang w:val="en-US" w:eastAsia="zh-CN"/>
              </w:rPr>
              <w:t>3.报价及结算方式：报价采用优惠率报价,优惠率是指在最终结算的基础上进行下浮的比例。例如投标人填入0.2（20%优惠率）则最终结算价格＝（1-0.2）×采购人审核后价。</w:t>
            </w:r>
          </w:p>
          <w:p w14:paraId="248E4979">
            <w:pPr>
              <w:spacing w:line="480" w:lineRule="exact"/>
              <w:ind w:firstLine="480" w:firstLineChars="200"/>
              <w:rPr>
                <w:rFonts w:hint="eastAsia" w:ascii="仿宋_GB2312" w:eastAsia="仿宋_GB2312" w:cs="微软雅黑"/>
                <w:kern w:val="0"/>
                <w:sz w:val="24"/>
                <w:szCs w:val="24"/>
                <w:highlight w:val="none"/>
                <w:lang w:val="zh-CN"/>
              </w:rPr>
            </w:pPr>
            <w:r>
              <w:rPr>
                <w:rFonts w:hint="eastAsia" w:ascii="仿宋_GB2312" w:eastAsia="仿宋_GB2312" w:cs="微软雅黑"/>
                <w:kern w:val="0"/>
                <w:sz w:val="24"/>
                <w:szCs w:val="24"/>
                <w:lang w:val="zh-CN"/>
              </w:rPr>
              <w:t>4.</w:t>
            </w:r>
            <w:r>
              <w:rPr>
                <w:rFonts w:hint="eastAsia" w:ascii="仿宋_GB2312" w:eastAsia="仿宋_GB2312" w:cs="微软雅黑"/>
                <w:kern w:val="0"/>
                <w:sz w:val="24"/>
                <w:szCs w:val="24"/>
                <w:highlight w:val="none"/>
                <w:lang w:val="zh-CN"/>
              </w:rPr>
              <w:t>询价响应文件</w:t>
            </w:r>
            <w:r>
              <w:rPr>
                <w:rFonts w:hint="eastAsia" w:ascii="仿宋_GB2312" w:eastAsia="仿宋_GB2312" w:cs="微软雅黑"/>
                <w:kern w:val="0"/>
                <w:sz w:val="24"/>
                <w:szCs w:val="24"/>
                <w:highlight w:val="none"/>
                <w:lang w:val="en-US" w:eastAsia="zh-CN"/>
              </w:rPr>
              <w:t>包括</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en-US" w:eastAsia="zh-CN"/>
              </w:rPr>
              <w:t>项目</w:t>
            </w:r>
            <w:r>
              <w:rPr>
                <w:rFonts w:hint="eastAsia" w:ascii="仿宋_GB2312" w:eastAsia="仿宋_GB2312" w:cs="微软雅黑"/>
                <w:kern w:val="0"/>
                <w:sz w:val="24"/>
                <w:szCs w:val="24"/>
                <w:highlight w:val="none"/>
                <w:lang w:val="zh-CN"/>
              </w:rPr>
              <w:t>报价及方案</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企业介绍（包含企业规模、企业资质</w:t>
            </w:r>
            <w:r>
              <w:rPr>
                <w:rFonts w:hint="eastAsia" w:ascii="仿宋_GB2312" w:eastAsia="仿宋_GB2312" w:cs="微软雅黑"/>
                <w:kern w:val="0"/>
                <w:sz w:val="24"/>
                <w:szCs w:val="24"/>
                <w:highlight w:val="none"/>
                <w:lang w:val="en-US" w:eastAsia="zh-CN"/>
              </w:rPr>
              <w:t>及业绩等</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声明函</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营业执照副本复印件</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信用查询情况截图</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报价单位认为应介绍或者提交的资料、文件和说明</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内容按附件格式，复印件均需加盖公章并装订。</w:t>
            </w:r>
          </w:p>
          <w:p w14:paraId="634754DD">
            <w:pPr>
              <w:spacing w:line="480" w:lineRule="exact"/>
              <w:ind w:firstLine="480" w:firstLineChars="200"/>
              <w:rPr>
                <w:rFonts w:hint="eastAsia" w:ascii="仿宋_GB2312" w:eastAsia="仿宋_GB2312" w:cs="微软雅黑"/>
                <w:kern w:val="0"/>
                <w:sz w:val="24"/>
                <w:szCs w:val="24"/>
                <w:lang w:val="zh-CN"/>
              </w:rPr>
            </w:pPr>
            <w:r>
              <w:rPr>
                <w:rFonts w:hint="eastAsia" w:ascii="仿宋_GB2312" w:eastAsia="仿宋_GB2312" w:cs="微软雅黑"/>
                <w:kern w:val="0"/>
                <w:sz w:val="24"/>
                <w:szCs w:val="24"/>
                <w:highlight w:val="none"/>
                <w:lang w:val="zh-CN"/>
              </w:rPr>
              <w:t>5.</w:t>
            </w:r>
            <w:r>
              <w:rPr>
                <w:rFonts w:hint="eastAsia" w:ascii="仿宋_GB2312" w:eastAsia="仿宋_GB2312" w:cs="微软雅黑"/>
                <w:kern w:val="0"/>
                <w:sz w:val="24"/>
                <w:szCs w:val="24"/>
                <w:lang w:val="en-US" w:eastAsia="zh-CN"/>
              </w:rPr>
              <w:t>评标方法</w:t>
            </w:r>
            <w:r>
              <w:rPr>
                <w:rFonts w:hint="eastAsia" w:ascii="仿宋_GB2312" w:eastAsia="仿宋_GB2312" w:cs="微软雅黑"/>
                <w:kern w:val="0"/>
                <w:sz w:val="24"/>
                <w:szCs w:val="24"/>
                <w:lang w:val="zh-CN"/>
              </w:rPr>
              <w:t>：</w:t>
            </w:r>
            <w:r>
              <w:rPr>
                <w:rFonts w:hint="eastAsia" w:ascii="仿宋_GB2312" w:eastAsia="仿宋_GB2312" w:cs="微软雅黑"/>
                <w:kern w:val="0"/>
                <w:sz w:val="24"/>
                <w:szCs w:val="24"/>
                <w:highlight w:val="none"/>
                <w:lang w:val="en-US" w:eastAsia="zh-CN"/>
              </w:rPr>
              <w:t>综合评分法</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en-US" w:eastAsia="zh-CN"/>
              </w:rPr>
              <w:t>评分内容包括：报价、服务方案、质量保证措施、后续服务保障、质保期、业绩等。</w:t>
            </w:r>
          </w:p>
        </w:tc>
      </w:tr>
      <w:tr w14:paraId="244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shd w:val="clear" w:color="auto" w:fill="auto"/>
            <w:noWrap w:val="0"/>
            <w:vAlign w:val="center"/>
          </w:tcPr>
          <w:p w14:paraId="3CBF1DD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highlight w:val="none"/>
              </w:rPr>
              <w:t>付款方式</w:t>
            </w:r>
          </w:p>
        </w:tc>
        <w:tc>
          <w:tcPr>
            <w:tcW w:w="7158" w:type="dxa"/>
            <w:gridSpan w:val="3"/>
            <w:shd w:val="clear" w:color="auto" w:fill="auto"/>
            <w:noWrap w:val="0"/>
            <w:vAlign w:val="center"/>
          </w:tcPr>
          <w:p w14:paraId="2AA95B86">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按照合同约定</w:t>
            </w:r>
          </w:p>
        </w:tc>
      </w:tr>
      <w:tr w14:paraId="28B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shd w:val="clear" w:color="auto" w:fill="auto"/>
            <w:noWrap w:val="0"/>
            <w:vAlign w:val="center"/>
          </w:tcPr>
          <w:p w14:paraId="3B44CD06">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服务时间</w:t>
            </w:r>
          </w:p>
        </w:tc>
        <w:tc>
          <w:tcPr>
            <w:tcW w:w="7158" w:type="dxa"/>
            <w:gridSpan w:val="3"/>
            <w:shd w:val="clear" w:color="auto" w:fill="auto"/>
            <w:noWrap w:val="0"/>
            <w:vAlign w:val="center"/>
          </w:tcPr>
          <w:p w14:paraId="6E6BDDA7">
            <w:pPr>
              <w:spacing w:before="100" w:beforeAutospacing="1" w:after="100" w:afterAutospacing="1" w:line="480" w:lineRule="exact"/>
              <w:jc w:val="center"/>
              <w:rPr>
                <w:rFonts w:hint="default" w:ascii="仿宋_GB2312" w:eastAsia="仿宋_GB2312" w:hAnsiTheme="minorHAnsi" w:cstheme="minorBidi"/>
                <w:kern w:val="2"/>
                <w:sz w:val="28"/>
                <w:szCs w:val="28"/>
                <w:lang w:val="en-US" w:eastAsia="zh-CN" w:bidi="ar-SA"/>
              </w:rPr>
            </w:pPr>
            <w:r>
              <w:rPr>
                <w:rFonts w:hint="eastAsia" w:ascii="仿宋_GB2312" w:hAnsi="Arial" w:eastAsia="仿宋_GB2312" w:cs="Arial"/>
                <w:sz w:val="24"/>
                <w:lang w:val="en-US" w:eastAsia="zh-CN"/>
              </w:rPr>
              <w:t>按照合同约定</w:t>
            </w:r>
          </w:p>
        </w:tc>
      </w:tr>
      <w:tr w14:paraId="409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shd w:val="clear" w:color="auto" w:fill="auto"/>
            <w:noWrap w:val="0"/>
            <w:vAlign w:val="center"/>
          </w:tcPr>
          <w:p w14:paraId="09D04DCF">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询价响应文件提交截止时间</w:t>
            </w:r>
          </w:p>
        </w:tc>
        <w:tc>
          <w:tcPr>
            <w:tcW w:w="7158" w:type="dxa"/>
            <w:gridSpan w:val="3"/>
            <w:shd w:val="clear" w:color="auto" w:fill="auto"/>
            <w:noWrap w:val="0"/>
            <w:vAlign w:val="center"/>
          </w:tcPr>
          <w:p w14:paraId="313217A3">
            <w:pPr>
              <w:spacing w:before="100" w:beforeAutospacing="1" w:after="100" w:afterAutospacing="1"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highlight w:val="none"/>
              </w:rPr>
              <w:t>20</w:t>
            </w:r>
            <w:r>
              <w:rPr>
                <w:rFonts w:ascii="仿宋_GB2312" w:hAnsi="Arial" w:eastAsia="仿宋_GB2312" w:cs="Arial"/>
                <w:sz w:val="24"/>
                <w:highlight w:val="none"/>
              </w:rPr>
              <w:t>2</w:t>
            </w:r>
            <w:r>
              <w:rPr>
                <w:rFonts w:hint="eastAsia" w:ascii="仿宋_GB2312" w:hAnsi="Arial" w:eastAsia="仿宋_GB2312" w:cs="Arial"/>
                <w:sz w:val="24"/>
                <w:highlight w:val="none"/>
                <w:lang w:val="en-US" w:eastAsia="zh-CN"/>
              </w:rPr>
              <w:t>5</w:t>
            </w:r>
            <w:r>
              <w:rPr>
                <w:rFonts w:hint="eastAsia" w:ascii="仿宋_GB2312" w:hAnsi="Arial" w:eastAsia="仿宋_GB2312" w:cs="Arial"/>
                <w:sz w:val="24"/>
                <w:highlight w:val="none"/>
              </w:rPr>
              <w:t>年</w:t>
            </w:r>
            <w:r>
              <w:rPr>
                <w:rFonts w:hint="eastAsia" w:ascii="仿宋_GB2312" w:hAnsi="Arial" w:eastAsia="仿宋_GB2312" w:cs="Arial"/>
                <w:sz w:val="24"/>
                <w:highlight w:val="none"/>
                <w:lang w:val="en-US" w:eastAsia="zh-CN"/>
              </w:rPr>
              <w:t>7</w:t>
            </w:r>
            <w:bookmarkStart w:id="1" w:name="_GoBack"/>
            <w:r>
              <w:rPr>
                <w:rFonts w:hint="eastAsia" w:ascii="仿宋_GB2312" w:hAnsi="Arial" w:eastAsia="仿宋_GB2312" w:cs="Arial"/>
                <w:sz w:val="24"/>
                <w:highlight w:val="none"/>
              </w:rPr>
              <w:t>月</w:t>
            </w:r>
            <w:r>
              <w:rPr>
                <w:rFonts w:hint="eastAsia" w:ascii="仿宋_GB2312" w:hAnsi="Arial" w:eastAsia="仿宋_GB2312" w:cs="Arial"/>
                <w:sz w:val="24"/>
                <w:highlight w:val="none"/>
                <w:lang w:val="en-US" w:eastAsia="zh-CN"/>
              </w:rPr>
              <w:t>30</w:t>
            </w:r>
            <w:r>
              <w:rPr>
                <w:rFonts w:hint="eastAsia" w:ascii="仿宋_GB2312" w:hAnsi="Arial" w:eastAsia="仿宋_GB2312" w:cs="Arial"/>
                <w:sz w:val="24"/>
                <w:highlight w:val="none"/>
              </w:rPr>
              <w:t>日</w:t>
            </w:r>
            <w:bookmarkEnd w:id="1"/>
            <w:r>
              <w:rPr>
                <w:rFonts w:hint="eastAsia" w:ascii="仿宋_GB2312" w:hAnsi="Arial" w:eastAsia="仿宋_GB2312" w:cs="Arial"/>
                <w:sz w:val="24"/>
                <w:highlight w:val="none"/>
                <w:lang w:val="en-US" w:eastAsia="zh-CN"/>
              </w:rPr>
              <w:t>9</w:t>
            </w:r>
            <w:r>
              <w:rPr>
                <w:rFonts w:hint="eastAsia" w:ascii="仿宋_GB2312" w:hAnsi="Arial" w:eastAsia="仿宋_GB2312" w:cs="Arial"/>
                <w:sz w:val="24"/>
                <w:highlight w:val="none"/>
              </w:rPr>
              <w:t>时</w:t>
            </w:r>
          </w:p>
        </w:tc>
      </w:tr>
      <w:tr w14:paraId="189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shd w:val="clear" w:color="auto" w:fill="auto"/>
            <w:noWrap w:val="0"/>
            <w:vAlign w:val="center"/>
          </w:tcPr>
          <w:p w14:paraId="37B770C4">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报价地点</w:t>
            </w:r>
          </w:p>
        </w:tc>
        <w:tc>
          <w:tcPr>
            <w:tcW w:w="7158" w:type="dxa"/>
            <w:gridSpan w:val="3"/>
            <w:shd w:val="clear" w:color="auto" w:fill="auto"/>
            <w:noWrap w:val="0"/>
            <w:vAlign w:val="center"/>
          </w:tcPr>
          <w:p w14:paraId="7EF2EC2A">
            <w:pPr>
              <w:spacing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rPr>
              <w:t>山东省青岛市市南区南京路11</w:t>
            </w:r>
            <w:r>
              <w:rPr>
                <w:rFonts w:hint="eastAsia" w:ascii="仿宋_GB2312" w:hAnsi="Arial" w:eastAsia="仿宋_GB2312" w:cs="Arial"/>
                <w:sz w:val="24"/>
                <w:lang w:val="en-US" w:eastAsia="zh-CN"/>
              </w:rPr>
              <w:t>2</w:t>
            </w:r>
            <w:r>
              <w:rPr>
                <w:rFonts w:hint="eastAsia" w:ascii="仿宋_GB2312" w:hAnsi="Arial" w:eastAsia="仿宋_GB2312" w:cs="Arial"/>
                <w:sz w:val="24"/>
              </w:rPr>
              <w:t>号</w:t>
            </w:r>
          </w:p>
        </w:tc>
      </w:tr>
      <w:tr w14:paraId="054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shd w:val="clear" w:color="auto" w:fill="auto"/>
            <w:noWrap w:val="0"/>
            <w:vAlign w:val="center"/>
          </w:tcPr>
          <w:p w14:paraId="736C1CB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采购单位名称</w:t>
            </w:r>
          </w:p>
        </w:tc>
        <w:tc>
          <w:tcPr>
            <w:tcW w:w="7158" w:type="dxa"/>
            <w:gridSpan w:val="3"/>
            <w:shd w:val="clear" w:color="auto" w:fill="auto"/>
            <w:noWrap w:val="0"/>
            <w:vAlign w:val="center"/>
          </w:tcPr>
          <w:p w14:paraId="13E1CFBE">
            <w:pPr>
              <w:spacing w:before="100" w:beforeAutospacing="1" w:after="100" w:afterAutospacing="1" w:line="480" w:lineRule="exact"/>
              <w:jc w:val="center"/>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青岛诚光城市照明工程有限公司</w:t>
            </w:r>
          </w:p>
        </w:tc>
      </w:tr>
      <w:tr w14:paraId="4A88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shd w:val="clear" w:color="auto" w:fill="auto"/>
            <w:noWrap w:val="0"/>
            <w:vAlign w:val="center"/>
          </w:tcPr>
          <w:p w14:paraId="6CB50E00">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电子邮箱</w:t>
            </w:r>
          </w:p>
        </w:tc>
        <w:tc>
          <w:tcPr>
            <w:tcW w:w="7158" w:type="dxa"/>
            <w:gridSpan w:val="3"/>
            <w:shd w:val="clear" w:color="auto" w:fill="auto"/>
            <w:noWrap w:val="0"/>
            <w:vAlign w:val="center"/>
          </w:tcPr>
          <w:p w14:paraId="147B5B2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default" w:ascii="仿宋_GB2312" w:hAnsi="Arial" w:eastAsia="仿宋_GB2312" w:cs="Arial"/>
                <w:sz w:val="24"/>
                <w:highlight w:val="none"/>
                <w:lang w:val="en-US" w:eastAsia="zh-CN"/>
              </w:rPr>
              <w:t>qdchengshizhaoming@126.com</w:t>
            </w:r>
          </w:p>
        </w:tc>
      </w:tr>
      <w:tr w14:paraId="1C7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shd w:val="clear" w:color="auto" w:fill="auto"/>
            <w:noWrap w:val="0"/>
            <w:vAlign w:val="center"/>
          </w:tcPr>
          <w:p w14:paraId="7CE804DD">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采购单位联系人</w:t>
            </w:r>
          </w:p>
        </w:tc>
        <w:tc>
          <w:tcPr>
            <w:tcW w:w="2556" w:type="dxa"/>
            <w:shd w:val="clear" w:color="auto" w:fill="auto"/>
            <w:noWrap w:val="0"/>
            <w:vAlign w:val="center"/>
          </w:tcPr>
          <w:p w14:paraId="4783A1F2">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kern w:val="2"/>
                <w:sz w:val="24"/>
                <w:szCs w:val="24"/>
                <w:highlight w:val="none"/>
                <w:lang w:val="en-US" w:eastAsia="zh-CN" w:bidi="ar-SA"/>
              </w:rPr>
              <w:t>郑工</w:t>
            </w:r>
          </w:p>
        </w:tc>
        <w:tc>
          <w:tcPr>
            <w:tcW w:w="1424" w:type="dxa"/>
            <w:shd w:val="clear" w:color="auto" w:fill="auto"/>
            <w:noWrap w:val="0"/>
            <w:vAlign w:val="center"/>
          </w:tcPr>
          <w:p w14:paraId="29A739EB">
            <w:pPr>
              <w:spacing w:before="100" w:beforeAutospacing="1" w:after="100" w:afterAutospacing="1"/>
              <w:jc w:val="center"/>
              <w:rPr>
                <w:rFonts w:hint="eastAsia"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rPr>
              <w:t>电话</w:t>
            </w:r>
          </w:p>
        </w:tc>
        <w:tc>
          <w:tcPr>
            <w:tcW w:w="3178" w:type="dxa"/>
            <w:shd w:val="clear" w:color="auto" w:fill="auto"/>
            <w:noWrap w:val="0"/>
            <w:vAlign w:val="center"/>
          </w:tcPr>
          <w:p w14:paraId="6B33838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lang w:val="en-US" w:eastAsia="zh-CN"/>
              </w:rPr>
              <w:t>15066816956</w:t>
            </w:r>
          </w:p>
        </w:tc>
      </w:tr>
    </w:tbl>
    <w:p w14:paraId="08F75CE3">
      <w:pPr>
        <w:autoSpaceDE w:val="0"/>
        <w:autoSpaceDN w:val="0"/>
        <w:adjustRightInd w:val="0"/>
        <w:spacing w:line="360" w:lineRule="auto"/>
        <w:rPr>
          <w:rFonts w:hint="eastAsia" w:ascii="仿宋_GB2312" w:eastAsia="仿宋_GB2312"/>
          <w:sz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B138A85">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青岛诚光城市照明工程有限公司山东路-鞍山路东北象限连接匝道及地下停车场路灯回迁劳务服务采购项目</w:t>
      </w:r>
    </w:p>
    <w:p w14:paraId="0BCF5393">
      <w:pPr>
        <w:ind w:right="-286" w:rightChars="-136"/>
        <w:jc w:val="center"/>
        <w:rPr>
          <w:rFonts w:hint="eastAsia" w:ascii="宋体" w:hAnsi="宋体" w:eastAsia="宋体" w:cs="Times New Roman"/>
          <w:b/>
          <w:spacing w:val="-2"/>
          <w:sz w:val="48"/>
          <w:szCs w:val="52"/>
          <w:lang w:val="en-US" w:eastAsia="zh-CN"/>
        </w:rPr>
      </w:pPr>
    </w:p>
    <w:p w14:paraId="378C85AA">
      <w:pPr>
        <w:jc w:val="center"/>
        <w:rPr>
          <w:rFonts w:ascii="黑体" w:hAnsi="宋体" w:eastAsia="黑体"/>
          <w:bCs/>
          <w:sz w:val="24"/>
        </w:rPr>
      </w:pP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F2F63BC">
      <w:pPr>
        <w:spacing w:before="100" w:beforeAutospacing="1" w:after="100" w:afterAutospacing="1" w:line="440" w:lineRule="exact"/>
        <w:jc w:val="center"/>
        <w:rPr>
          <w:rFonts w:hint="eastAsia" w:ascii="宋体" w:hAnsi="宋体"/>
          <w:b/>
          <w:spacing w:val="-2"/>
          <w:sz w:val="36"/>
          <w:szCs w:val="36"/>
        </w:rPr>
      </w:pPr>
    </w:p>
    <w:p w14:paraId="2E2B4868">
      <w:pPr>
        <w:spacing w:before="100" w:beforeAutospacing="1" w:after="100" w:afterAutospacing="1" w:line="440" w:lineRule="exact"/>
        <w:jc w:val="both"/>
        <w:rPr>
          <w:rFonts w:hint="eastAsia" w:ascii="宋体" w:hAnsi="宋体"/>
          <w:b/>
          <w:spacing w:val="-2"/>
          <w:sz w:val="36"/>
          <w:szCs w:val="36"/>
        </w:rPr>
      </w:pPr>
    </w:p>
    <w:p w14:paraId="11DFF1D5">
      <w:pPr>
        <w:spacing w:before="100" w:beforeAutospacing="1" w:after="100" w:afterAutospacing="1" w:line="440" w:lineRule="exact"/>
        <w:jc w:val="both"/>
        <w:rPr>
          <w:rFonts w:hint="eastAsia" w:ascii="宋体" w:hAnsi="宋体"/>
          <w:b/>
          <w:spacing w:val="-2"/>
          <w:sz w:val="36"/>
          <w:szCs w:val="36"/>
        </w:rPr>
      </w:pPr>
    </w:p>
    <w:p w14:paraId="3C611CA2">
      <w:pPr>
        <w:spacing w:before="100" w:beforeAutospacing="1" w:after="100" w:afterAutospacing="1" w:line="440" w:lineRule="exact"/>
        <w:jc w:val="both"/>
        <w:rPr>
          <w:rFonts w:hint="eastAsia" w:ascii="宋体" w:hAnsi="宋体"/>
          <w:b/>
          <w:spacing w:val="-2"/>
          <w:sz w:val="36"/>
          <w:szCs w:val="36"/>
        </w:rPr>
      </w:pPr>
    </w:p>
    <w:p w14:paraId="638FF953">
      <w:pPr>
        <w:spacing w:before="100" w:beforeAutospacing="1" w:after="100" w:afterAutospacing="1" w:line="440" w:lineRule="exact"/>
        <w:jc w:val="both"/>
        <w:rPr>
          <w:rFonts w:hint="eastAsia" w:ascii="宋体" w:hAnsi="宋体"/>
          <w:b/>
          <w:spacing w:val="-2"/>
          <w:sz w:val="36"/>
          <w:szCs w:val="36"/>
        </w:rPr>
      </w:pPr>
    </w:p>
    <w:p w14:paraId="48121661">
      <w:pPr>
        <w:spacing w:before="100" w:beforeAutospacing="1" w:after="100" w:afterAutospacing="1" w:line="440" w:lineRule="exact"/>
        <w:jc w:val="both"/>
        <w:rPr>
          <w:rFonts w:hint="eastAsia" w:ascii="宋体" w:hAnsi="宋体"/>
          <w:b/>
          <w:spacing w:val="-2"/>
          <w:sz w:val="36"/>
          <w:szCs w:val="36"/>
        </w:rPr>
      </w:pPr>
    </w:p>
    <w:p w14:paraId="417621E1">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18B09BDE">
      <w:pPr>
        <w:adjustRightInd w:val="0"/>
        <w:snapToGrid w:val="0"/>
        <w:spacing w:line="560" w:lineRule="exact"/>
        <w:ind w:firstLine="560" w:firstLineChars="200"/>
        <w:jc w:val="both"/>
        <w:rPr>
          <w:rFonts w:ascii="仿宋" w:hAnsi="仿宋" w:eastAsia="仿宋" w:cs="微软雅黑"/>
          <w:bCs/>
          <w:sz w:val="32"/>
          <w:szCs w:val="32"/>
        </w:rPr>
      </w:pPr>
      <w:r>
        <w:rPr>
          <w:rFonts w:hint="eastAsia" w:ascii="仿宋_GB2312" w:hAnsi="仿宋" w:eastAsia="仿宋_GB2312" w:cs="微软雅黑"/>
          <w:bCs/>
          <w:sz w:val="28"/>
          <w:szCs w:val="28"/>
          <w:lang w:val="en-US" w:eastAsia="zh-CN"/>
        </w:rPr>
        <w:t>（4）</w:t>
      </w:r>
      <w:r>
        <w:rPr>
          <w:rFonts w:hint="eastAsia" w:ascii="仿宋_GB2312" w:hAnsi="仿宋" w:eastAsia="仿宋_GB2312" w:cs="微软雅黑"/>
          <w:bCs/>
          <w:sz w:val="28"/>
          <w:szCs w:val="28"/>
        </w:rPr>
        <w:t>报价人认为应介绍或者提交的资料、文件和说明。</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43512A38">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39DA04DC">
      <w:pPr>
        <w:adjustRightInd w:val="0"/>
        <w:snapToGrid w:val="0"/>
        <w:spacing w:line="560" w:lineRule="exact"/>
        <w:ind w:firstLine="562" w:firstLineChars="200"/>
        <w:jc w:val="both"/>
        <w:rPr>
          <w:rFonts w:ascii="仿宋_GB2312" w:hAnsi="仿宋" w:eastAsia="仿宋_GB2312" w:cs="微软雅黑"/>
          <w:bCs/>
          <w:color w:val="auto"/>
          <w:sz w:val="28"/>
          <w:szCs w:val="28"/>
        </w:rPr>
      </w:pPr>
      <w:r>
        <w:rPr>
          <w:rFonts w:hint="eastAsia" w:ascii="仿宋_GB2312" w:hAnsi="仿宋" w:eastAsia="仿宋_GB2312" w:cs="微软雅黑"/>
          <w:b/>
          <w:bCs w:val="0"/>
          <w:color w:val="auto"/>
          <w:sz w:val="28"/>
          <w:szCs w:val="28"/>
          <w:lang w:val="en-US" w:eastAsia="zh-CN"/>
        </w:rPr>
        <w:t>3</w:t>
      </w:r>
      <w:r>
        <w:rPr>
          <w:rFonts w:hint="eastAsia" w:ascii="仿宋_GB2312" w:hAnsi="仿宋" w:eastAsia="仿宋_GB2312" w:cs="微软雅黑"/>
          <w:b/>
          <w:bCs w:val="0"/>
          <w:color w:val="auto"/>
          <w:sz w:val="28"/>
          <w:szCs w:val="28"/>
        </w:rPr>
        <w:t>.企业相</w:t>
      </w:r>
      <w:r>
        <w:rPr>
          <w:rFonts w:hint="eastAsia" w:ascii="仿宋_GB2312" w:hAnsi="仿宋" w:eastAsia="仿宋_GB2312" w:cs="微软雅黑"/>
          <w:b/>
          <w:bCs/>
          <w:color w:val="auto"/>
          <w:sz w:val="28"/>
          <w:szCs w:val="28"/>
        </w:rPr>
        <w:t>关证书</w:t>
      </w:r>
      <w:r>
        <w:rPr>
          <w:rFonts w:hint="eastAsia" w:ascii="仿宋_GB2312" w:hAnsi="仿宋" w:eastAsia="仿宋_GB2312" w:cs="微软雅黑"/>
          <w:b/>
          <w:bCs/>
          <w:color w:val="auto"/>
          <w:sz w:val="28"/>
          <w:szCs w:val="28"/>
          <w:lang w:eastAsia="zh-CN"/>
        </w:rPr>
        <w:t>：</w:t>
      </w:r>
      <w:r>
        <w:rPr>
          <w:rFonts w:hint="eastAsia" w:ascii="仿宋_GB2312" w:hAnsi="仿宋" w:eastAsia="仿宋_GB2312" w:cs="微软雅黑"/>
          <w:bCs/>
          <w:color w:val="auto"/>
          <w:sz w:val="28"/>
          <w:szCs w:val="28"/>
          <w:lang w:val="en-US" w:eastAsia="zh-CN"/>
        </w:rPr>
        <w:t>体系认证证书、资质证书等</w:t>
      </w:r>
      <w:r>
        <w:rPr>
          <w:rFonts w:ascii="仿宋_GB2312" w:hAnsi="仿宋" w:eastAsia="仿宋_GB2312" w:cs="微软雅黑"/>
          <w:bCs/>
          <w:color w:val="auto"/>
          <w:sz w:val="28"/>
          <w:szCs w:val="28"/>
        </w:rPr>
        <w:t>证书。</w:t>
      </w:r>
    </w:p>
    <w:p w14:paraId="71448EC1">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4.</w:t>
      </w:r>
      <w:r>
        <w:rPr>
          <w:rFonts w:hint="eastAsia" w:ascii="仿宋_GB2312" w:hAnsi="仿宋" w:eastAsia="仿宋_GB2312" w:cs="微软雅黑"/>
          <w:b/>
          <w:bCs w:val="0"/>
          <w:sz w:val="28"/>
          <w:szCs w:val="28"/>
        </w:rPr>
        <w:t>报价人认为应介绍或者提交的资料、文件和说明。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青岛诚光城市照明工程有限公司山东路-鞍山路东北象限连接匝道及地下停车场路灯回迁</w:t>
      </w:r>
      <w:r>
        <w:rPr>
          <w:rFonts w:hint="eastAsia" w:ascii="仿宋" w:hAnsi="仿宋" w:eastAsia="仿宋"/>
          <w:color w:val="000000"/>
          <w:u w:val="single"/>
          <w:lang w:val="en-US" w:eastAsia="zh-CN"/>
        </w:rPr>
        <w:t>劳务</w:t>
      </w:r>
      <w:r>
        <w:rPr>
          <w:rFonts w:hint="eastAsia" w:ascii="仿宋" w:hAnsi="仿宋" w:eastAsia="仿宋"/>
          <w:color w:val="000000"/>
          <w:u w:val="single"/>
        </w:rPr>
        <w:t>服务采购项目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ascii="仿宋" w:hAnsi="仿宋" w:eastAsia="仿宋"/>
          <w:color w:val="000000"/>
        </w:rPr>
        <w:t>202</w:t>
      </w:r>
      <w:r>
        <w:rPr>
          <w:rFonts w:hint="eastAsia" w:ascii="仿宋" w:hAnsi="仿宋" w:eastAsia="仿宋"/>
          <w:color w:val="000000"/>
          <w:lang w:val="en-US" w:eastAsia="zh-CN"/>
        </w:rPr>
        <w:t>5</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2E9EE44A">
      <w:pPr>
        <w:spacing w:line="420" w:lineRule="auto"/>
        <w:rPr>
          <w:rFonts w:ascii="仿宋" w:hAnsi="仿宋" w:eastAsia="仿宋"/>
          <w:color w:val="000000"/>
        </w:rPr>
      </w:pPr>
    </w:p>
    <w:p w14:paraId="26F82D58">
      <w:pPr>
        <w:spacing w:line="360" w:lineRule="auto"/>
        <w:rPr>
          <w:rFonts w:hint="eastAsia" w:ascii="黑体" w:hAnsi="黑体" w:eastAsia="黑体" w:cs="微软雅黑"/>
          <w:bCs/>
          <w:sz w:val="28"/>
          <w:szCs w:val="28"/>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widowControl/>
        <w:autoSpaceDE w:val="0"/>
        <w:autoSpaceDN w:val="0"/>
        <w:adjustRightInd w:val="0"/>
        <w:spacing w:before="120" w:after="120" w:line="300" w:lineRule="auto"/>
        <w:ind w:right="-481"/>
        <w:jc w:val="center"/>
        <w:rPr>
          <w:rFonts w:ascii="仿宋" w:hAnsi="仿宋" w:eastAsia="仿宋"/>
          <w:kern w:val="1"/>
          <w:sz w:val="28"/>
          <w:szCs w:val="28"/>
        </w:rPr>
      </w:pPr>
      <w:bookmarkStart w:id="0" w:name="_Toc406740774"/>
      <w:r>
        <w:rPr>
          <w:rFonts w:hint="eastAsia" w:ascii="仿宋" w:hAnsi="仿宋" w:eastAsia="仿宋" w:cs="宋体"/>
          <w:kern w:val="1"/>
          <w:sz w:val="28"/>
          <w:szCs w:val="28"/>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青岛诚光城市照明工程有限公司</w:t>
      </w:r>
      <w:r>
        <w:rPr>
          <w:rStyle w:val="12"/>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2"/>
          <w:rFonts w:hint="eastAsia"/>
          <w:sz w:val="24"/>
        </w:rPr>
        <w:t>系中华人民共和国合法企业，经营地址</w:t>
      </w:r>
      <w:r>
        <w:rPr>
          <w:rFonts w:ascii="仿宋" w:hAnsi="仿宋" w:eastAsia="仿宋" w:cs="仿宋"/>
          <w:kern w:val="1"/>
          <w:sz w:val="24"/>
          <w:u w:val="single"/>
        </w:rPr>
        <w:t xml:space="preserve">          </w:t>
      </w:r>
      <w:r>
        <w:rPr>
          <w:rStyle w:val="12"/>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2"/>
          <w:rFonts w:hint="eastAsia"/>
          <w:sz w:val="24"/>
        </w:rPr>
        <w:t>我</w:t>
      </w:r>
      <w:r>
        <w:rPr>
          <w:rFonts w:hint="eastAsia" w:ascii="仿宋" w:hAnsi="仿宋" w:eastAsia="仿宋" w:cs="仿宋"/>
          <w:kern w:val="1"/>
          <w:sz w:val="24"/>
          <w:u w:val="single"/>
        </w:rPr>
        <w:t>（姓名）</w:t>
      </w:r>
      <w:r>
        <w:rPr>
          <w:rStyle w:val="12"/>
          <w:rFonts w:hint="eastAsia"/>
          <w:sz w:val="24"/>
        </w:rPr>
        <w:t>系</w:t>
      </w:r>
      <w:r>
        <w:rPr>
          <w:rFonts w:hint="eastAsia" w:ascii="仿宋" w:hAnsi="仿宋" w:eastAsia="仿宋" w:cs="仿宋"/>
          <w:kern w:val="1"/>
          <w:sz w:val="24"/>
          <w:u w:val="single"/>
        </w:rPr>
        <w:t>（供应商名称）</w:t>
      </w:r>
      <w:r>
        <w:rPr>
          <w:rStyle w:val="12"/>
          <w:rFonts w:hint="eastAsia"/>
          <w:sz w:val="24"/>
        </w:rPr>
        <w:t>的法定代表人，我方愿意参加贵方组织的</w:t>
      </w:r>
      <w:r>
        <w:rPr>
          <w:rFonts w:hint="eastAsia" w:ascii="仿宋" w:hAnsi="仿宋" w:eastAsia="仿宋" w:cs="仿宋"/>
          <w:kern w:val="1"/>
          <w:sz w:val="24"/>
          <w:u w:val="single"/>
        </w:rPr>
        <w:t>（采购项目名称）</w:t>
      </w:r>
      <w:r>
        <w:rPr>
          <w:rStyle w:val="12"/>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2"/>
          <w:sz w:val="24"/>
        </w:rPr>
      </w:pPr>
      <w:r>
        <w:rPr>
          <w:rStyle w:val="12"/>
          <w:sz w:val="24"/>
        </w:rPr>
        <w:t>1</w:t>
      </w:r>
      <w:r>
        <w:rPr>
          <w:rStyle w:val="12"/>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2"/>
          <w:sz w:val="24"/>
        </w:rPr>
      </w:pPr>
      <w:r>
        <w:rPr>
          <w:rStyle w:val="12"/>
          <w:sz w:val="24"/>
        </w:rPr>
        <w:t>2</w:t>
      </w:r>
      <w:r>
        <w:rPr>
          <w:rStyle w:val="12"/>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2"/>
          <w:sz w:val="24"/>
        </w:rPr>
      </w:pPr>
      <w:r>
        <w:rPr>
          <w:rStyle w:val="12"/>
          <w:sz w:val="24"/>
        </w:rPr>
        <w:t>3</w:t>
      </w:r>
      <w:r>
        <w:rPr>
          <w:rStyle w:val="12"/>
          <w:rFonts w:hint="eastAsia"/>
          <w:sz w:val="24"/>
        </w:rPr>
        <w:t>、若成交，我方将按照询价函规定履行合同责任和义务</w:t>
      </w:r>
      <w:r>
        <w:rPr>
          <w:rStyle w:val="12"/>
          <w:rFonts w:hint="eastAsia" w:eastAsia="仿宋"/>
          <w:sz w:val="24"/>
          <w:lang w:eastAsia="zh-CN"/>
        </w:rPr>
        <w:t>，</w:t>
      </w:r>
      <w:r>
        <w:rPr>
          <w:rStyle w:val="12"/>
          <w:rFonts w:hint="eastAsia" w:eastAsia="仿宋"/>
          <w:sz w:val="24"/>
          <w:lang w:val="en-US" w:eastAsia="zh-CN"/>
        </w:rPr>
        <w:t>报价费用包含项目所有费用</w:t>
      </w:r>
      <w:r>
        <w:rPr>
          <w:rStyle w:val="12"/>
          <w:rFonts w:hint="eastAsia"/>
          <w:sz w:val="24"/>
        </w:rPr>
        <w:t>。</w:t>
      </w:r>
    </w:p>
    <w:p w14:paraId="170D75E0">
      <w:pPr>
        <w:widowControl/>
        <w:autoSpaceDE w:val="0"/>
        <w:autoSpaceDN w:val="0"/>
        <w:adjustRightInd w:val="0"/>
        <w:spacing w:line="460" w:lineRule="exact"/>
        <w:ind w:firstLine="480"/>
        <w:rPr>
          <w:rStyle w:val="12"/>
          <w:sz w:val="24"/>
        </w:rPr>
      </w:pPr>
      <w:r>
        <w:rPr>
          <w:rStyle w:val="12"/>
          <w:sz w:val="24"/>
        </w:rPr>
        <w:t>4</w:t>
      </w:r>
      <w:r>
        <w:rPr>
          <w:rStyle w:val="12"/>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2"/>
          <w:sz w:val="24"/>
        </w:rPr>
        <w:t>5</w:t>
      </w:r>
      <w:r>
        <w:rPr>
          <w:rStyle w:val="12"/>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2"/>
          <w:rFonts w:hint="eastAsia"/>
          <w:color w:val="auto"/>
          <w:sz w:val="24"/>
        </w:rPr>
        <w:t>日。</w:t>
      </w:r>
    </w:p>
    <w:p w14:paraId="6A9BF40F">
      <w:pPr>
        <w:widowControl/>
        <w:autoSpaceDE w:val="0"/>
        <w:autoSpaceDN w:val="0"/>
        <w:adjustRightInd w:val="0"/>
        <w:spacing w:line="460" w:lineRule="exact"/>
        <w:ind w:firstLine="480"/>
        <w:rPr>
          <w:rStyle w:val="12"/>
          <w:sz w:val="24"/>
        </w:rPr>
      </w:pPr>
      <w:r>
        <w:rPr>
          <w:rStyle w:val="12"/>
          <w:sz w:val="24"/>
        </w:rPr>
        <w:t>6</w:t>
      </w:r>
      <w:r>
        <w:rPr>
          <w:rStyle w:val="12"/>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2"/>
          <w:sz w:val="24"/>
        </w:rPr>
      </w:pPr>
      <w:r>
        <w:rPr>
          <w:rStyle w:val="12"/>
          <w:rFonts w:hint="eastAsia"/>
          <w:sz w:val="24"/>
        </w:rPr>
        <w:t>供应商全称（公章）：</w:t>
      </w:r>
      <w:r>
        <w:rPr>
          <w:rStyle w:val="12"/>
          <w:sz w:val="24"/>
        </w:rPr>
        <w:t xml:space="preserve">               </w:t>
      </w:r>
    </w:p>
    <w:p w14:paraId="2246E560">
      <w:pPr>
        <w:widowControl/>
        <w:autoSpaceDE w:val="0"/>
        <w:autoSpaceDN w:val="0"/>
        <w:adjustRightInd w:val="0"/>
        <w:spacing w:before="120" w:after="50" w:line="460" w:lineRule="exact"/>
        <w:ind w:right="119" w:firstLine="3720"/>
        <w:rPr>
          <w:rStyle w:val="12"/>
          <w:sz w:val="24"/>
        </w:rPr>
      </w:pPr>
      <w:r>
        <w:rPr>
          <w:rStyle w:val="12"/>
          <w:rFonts w:hint="eastAsia"/>
          <w:sz w:val="24"/>
        </w:rPr>
        <w:t>法定代表人（签字或盖章）：</w:t>
      </w:r>
      <w:r>
        <w:rPr>
          <w:rStyle w:val="12"/>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2"/>
          <w:rFonts w:hint="eastAsia"/>
          <w:sz w:val="24"/>
        </w:rPr>
        <w:t>日</w:t>
      </w:r>
      <w:r>
        <w:rPr>
          <w:rStyle w:val="12"/>
          <w:sz w:val="24"/>
        </w:rPr>
        <w:t xml:space="preserve"> </w:t>
      </w:r>
      <w:r>
        <w:rPr>
          <w:rStyle w:val="12"/>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3F8ABE65">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69"/>
        <w:gridCol w:w="2468"/>
        <w:gridCol w:w="1313"/>
        <w:gridCol w:w="2542"/>
        <w:gridCol w:w="13"/>
      </w:tblGrid>
      <w:tr w14:paraId="7075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47" w:hRule="atLeast"/>
        </w:trPr>
        <w:tc>
          <w:tcPr>
            <w:tcW w:w="813" w:type="dxa"/>
            <w:vAlign w:val="center"/>
          </w:tcPr>
          <w:p w14:paraId="6E1E06FB">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369" w:type="dxa"/>
            <w:vAlign w:val="center"/>
          </w:tcPr>
          <w:p w14:paraId="7078DEF7">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服务项目名称</w:t>
            </w:r>
          </w:p>
        </w:tc>
        <w:tc>
          <w:tcPr>
            <w:tcW w:w="2468" w:type="dxa"/>
            <w:vAlign w:val="center"/>
          </w:tcPr>
          <w:p w14:paraId="2FECF936">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服务事项</w:t>
            </w:r>
          </w:p>
        </w:tc>
        <w:tc>
          <w:tcPr>
            <w:tcW w:w="1313" w:type="dxa"/>
            <w:vAlign w:val="center"/>
          </w:tcPr>
          <w:p w14:paraId="4989F924">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优惠率（%）</w:t>
            </w:r>
          </w:p>
        </w:tc>
        <w:tc>
          <w:tcPr>
            <w:tcW w:w="2542" w:type="dxa"/>
            <w:vAlign w:val="center"/>
          </w:tcPr>
          <w:p w14:paraId="277D8B06">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备注</w:t>
            </w:r>
          </w:p>
        </w:tc>
      </w:tr>
      <w:tr w14:paraId="1C8F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47" w:hRule="atLeast"/>
        </w:trPr>
        <w:tc>
          <w:tcPr>
            <w:tcW w:w="813" w:type="dxa"/>
            <w:vAlign w:val="center"/>
          </w:tcPr>
          <w:p w14:paraId="3E80F081">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369" w:type="dxa"/>
            <w:vAlign w:val="center"/>
          </w:tcPr>
          <w:p w14:paraId="1B4494CC">
            <w:pPr>
              <w:spacing w:line="360" w:lineRule="auto"/>
              <w:jc w:val="center"/>
              <w:rPr>
                <w:rFonts w:hint="eastAsia" w:ascii="仿宋_GB2312" w:hAnsi="仿宋" w:eastAsia="仿宋_GB2312" w:cs="微软雅黑"/>
                <w:bCs/>
                <w:sz w:val="24"/>
                <w:szCs w:val="24"/>
                <w:vertAlign w:val="baseline"/>
                <w:lang w:val="en-US" w:eastAsia="zh-CN"/>
              </w:rPr>
            </w:pPr>
          </w:p>
        </w:tc>
        <w:tc>
          <w:tcPr>
            <w:tcW w:w="2468" w:type="dxa"/>
            <w:vAlign w:val="center"/>
          </w:tcPr>
          <w:p w14:paraId="0F6766DB">
            <w:pPr>
              <w:spacing w:line="360" w:lineRule="auto"/>
              <w:jc w:val="center"/>
              <w:rPr>
                <w:rFonts w:hint="eastAsia" w:ascii="仿宋_GB2312" w:hAnsi="仿宋" w:eastAsia="仿宋_GB2312" w:cs="微软雅黑"/>
                <w:bCs/>
                <w:sz w:val="24"/>
                <w:szCs w:val="24"/>
                <w:vertAlign w:val="baseline"/>
                <w:lang w:val="en-US" w:eastAsia="zh-CN"/>
              </w:rPr>
            </w:pPr>
          </w:p>
        </w:tc>
        <w:tc>
          <w:tcPr>
            <w:tcW w:w="1313" w:type="dxa"/>
            <w:vAlign w:val="center"/>
          </w:tcPr>
          <w:p w14:paraId="615730D3">
            <w:pPr>
              <w:spacing w:line="360" w:lineRule="auto"/>
              <w:jc w:val="center"/>
              <w:rPr>
                <w:rFonts w:hint="eastAsia" w:ascii="仿宋_GB2312" w:hAnsi="仿宋" w:eastAsia="仿宋_GB2312" w:cs="微软雅黑"/>
                <w:bCs/>
                <w:sz w:val="24"/>
                <w:szCs w:val="24"/>
                <w:vertAlign w:val="baseline"/>
                <w:lang w:val="en-US" w:eastAsia="zh-CN"/>
              </w:rPr>
            </w:pPr>
          </w:p>
        </w:tc>
        <w:tc>
          <w:tcPr>
            <w:tcW w:w="2542" w:type="dxa"/>
            <w:vAlign w:val="center"/>
          </w:tcPr>
          <w:p w14:paraId="2392C9AD">
            <w:pPr>
              <w:spacing w:line="360" w:lineRule="auto"/>
              <w:jc w:val="center"/>
              <w:rPr>
                <w:rFonts w:hint="eastAsia" w:ascii="仿宋_GB2312" w:hAnsi="仿宋" w:eastAsia="仿宋_GB2312" w:cs="微软雅黑"/>
                <w:bCs/>
                <w:sz w:val="24"/>
                <w:szCs w:val="24"/>
                <w:vertAlign w:val="baseline"/>
                <w:lang w:val="en-US" w:eastAsia="zh-CN"/>
              </w:rPr>
            </w:pPr>
          </w:p>
        </w:tc>
      </w:tr>
      <w:tr w14:paraId="445C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47" w:hRule="atLeast"/>
        </w:trPr>
        <w:tc>
          <w:tcPr>
            <w:tcW w:w="813" w:type="dxa"/>
            <w:vAlign w:val="center"/>
          </w:tcPr>
          <w:p w14:paraId="3712451C">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369" w:type="dxa"/>
            <w:vAlign w:val="center"/>
          </w:tcPr>
          <w:p w14:paraId="56F27A85">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eastAsia="zh-CN"/>
              </w:rPr>
              <w:t>……</w:t>
            </w:r>
          </w:p>
        </w:tc>
        <w:tc>
          <w:tcPr>
            <w:tcW w:w="2468" w:type="dxa"/>
            <w:vAlign w:val="center"/>
          </w:tcPr>
          <w:p w14:paraId="355B6254">
            <w:pPr>
              <w:spacing w:line="360" w:lineRule="auto"/>
              <w:jc w:val="center"/>
              <w:rPr>
                <w:rFonts w:hint="eastAsia" w:ascii="仿宋_GB2312" w:hAnsi="仿宋" w:eastAsia="仿宋_GB2312" w:cs="微软雅黑"/>
                <w:bCs/>
                <w:sz w:val="24"/>
                <w:szCs w:val="24"/>
                <w:vertAlign w:val="baseline"/>
                <w:lang w:val="en-US" w:eastAsia="zh-CN"/>
              </w:rPr>
            </w:pPr>
          </w:p>
        </w:tc>
        <w:tc>
          <w:tcPr>
            <w:tcW w:w="1313" w:type="dxa"/>
            <w:vAlign w:val="center"/>
          </w:tcPr>
          <w:p w14:paraId="301A9333">
            <w:pPr>
              <w:spacing w:line="360" w:lineRule="auto"/>
              <w:jc w:val="center"/>
              <w:rPr>
                <w:rFonts w:hint="eastAsia" w:ascii="仿宋_GB2312" w:hAnsi="仿宋" w:eastAsia="仿宋_GB2312" w:cs="微软雅黑"/>
                <w:bCs/>
                <w:sz w:val="24"/>
                <w:szCs w:val="24"/>
                <w:vertAlign w:val="baseline"/>
                <w:lang w:val="en-US" w:eastAsia="zh-CN"/>
              </w:rPr>
            </w:pPr>
          </w:p>
        </w:tc>
        <w:tc>
          <w:tcPr>
            <w:tcW w:w="2542" w:type="dxa"/>
            <w:vAlign w:val="center"/>
          </w:tcPr>
          <w:p w14:paraId="6AB502F9">
            <w:pPr>
              <w:spacing w:line="360" w:lineRule="auto"/>
              <w:jc w:val="center"/>
              <w:rPr>
                <w:rFonts w:hint="eastAsia" w:ascii="仿宋_GB2312" w:hAnsi="仿宋" w:eastAsia="仿宋_GB2312" w:cs="微软雅黑"/>
                <w:bCs/>
                <w:sz w:val="24"/>
                <w:szCs w:val="24"/>
                <w:vertAlign w:val="baseline"/>
                <w:lang w:val="en-US" w:eastAsia="zh-CN"/>
              </w:rPr>
            </w:pPr>
          </w:p>
        </w:tc>
      </w:tr>
      <w:tr w14:paraId="01F3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82" w:type="dxa"/>
            <w:gridSpan w:val="2"/>
            <w:vAlign w:val="center"/>
          </w:tcPr>
          <w:p w14:paraId="244346D9">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合计优惠率（%）</w:t>
            </w:r>
          </w:p>
        </w:tc>
        <w:tc>
          <w:tcPr>
            <w:tcW w:w="6336" w:type="dxa"/>
            <w:gridSpan w:val="4"/>
            <w:vAlign w:val="center"/>
          </w:tcPr>
          <w:p w14:paraId="5A48BE50">
            <w:pPr>
              <w:spacing w:line="360" w:lineRule="auto"/>
              <w:jc w:val="center"/>
              <w:rPr>
                <w:rFonts w:ascii="仿宋_GB2312" w:hAnsi="仿宋" w:eastAsia="仿宋_GB2312" w:cs="微软雅黑"/>
                <w:bCs/>
                <w:sz w:val="24"/>
                <w:szCs w:val="24"/>
                <w:vertAlign w:val="baseline"/>
              </w:rPr>
            </w:pPr>
          </w:p>
        </w:tc>
      </w:tr>
    </w:tbl>
    <w:p w14:paraId="06DF0418">
      <w:pPr>
        <w:spacing w:line="360" w:lineRule="auto"/>
        <w:jc w:val="center"/>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0631358B">
      <w:pPr>
        <w:spacing w:line="420" w:lineRule="auto"/>
        <w:jc w:val="right"/>
        <w:rPr>
          <w:rFonts w:hint="eastAsia" w:ascii="仿宋" w:hAnsi="仿宋" w:eastAsia="仿宋"/>
          <w:color w:val="000000"/>
          <w:sz w:val="24"/>
          <w:szCs w:val="32"/>
        </w:rPr>
      </w:pPr>
      <w:r>
        <w:rPr>
          <w:rFonts w:hint="eastAsia" w:ascii="仿宋" w:hAnsi="仿宋" w:eastAsia="仿宋"/>
          <w:color w:val="000000"/>
          <w:sz w:val="24"/>
          <w:szCs w:val="32"/>
        </w:rPr>
        <w:t>日期：</w:t>
      </w:r>
      <w:r>
        <w:rPr>
          <w:rFonts w:ascii="仿宋" w:hAnsi="仿宋" w:eastAsia="仿宋"/>
          <w:color w:val="000000"/>
          <w:sz w:val="24"/>
          <w:szCs w:val="32"/>
        </w:rPr>
        <w:t>202</w:t>
      </w:r>
      <w:r>
        <w:rPr>
          <w:rFonts w:hint="eastAsia" w:ascii="仿宋" w:hAnsi="仿宋" w:eastAsia="仿宋"/>
          <w:color w:val="000000"/>
          <w:sz w:val="24"/>
          <w:szCs w:val="32"/>
          <w:lang w:val="en-US" w:eastAsia="zh-CN"/>
        </w:rPr>
        <w:t>5</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2A4428DE">
      <w:pPr>
        <w:spacing w:line="420" w:lineRule="auto"/>
        <w:jc w:val="right"/>
        <w:rPr>
          <w:rFonts w:hint="eastAsia" w:ascii="仿宋" w:hAnsi="仿宋" w:eastAsia="仿宋"/>
          <w:color w:val="000000"/>
          <w:sz w:val="24"/>
          <w:szCs w:val="32"/>
        </w:rPr>
      </w:pPr>
    </w:p>
    <w:p w14:paraId="3DA3968A">
      <w:pPr>
        <w:spacing w:line="420" w:lineRule="auto"/>
        <w:jc w:val="right"/>
        <w:rPr>
          <w:rFonts w:hint="eastAsia" w:ascii="仿宋" w:hAnsi="仿宋" w:eastAsia="仿宋"/>
          <w:color w:val="000000"/>
          <w:sz w:val="24"/>
          <w:szCs w:val="32"/>
        </w:rPr>
      </w:pPr>
    </w:p>
    <w:p w14:paraId="3340F869">
      <w:pPr>
        <w:spacing w:line="420" w:lineRule="auto"/>
        <w:jc w:val="right"/>
        <w:rPr>
          <w:rFonts w:hint="eastAsia" w:ascii="仿宋" w:hAnsi="仿宋" w:eastAsia="仿宋"/>
          <w:color w:val="000000"/>
          <w:sz w:val="24"/>
          <w:szCs w:val="32"/>
        </w:rPr>
      </w:pPr>
    </w:p>
    <w:p w14:paraId="200500E5">
      <w:pPr>
        <w:spacing w:line="420" w:lineRule="auto"/>
        <w:jc w:val="right"/>
        <w:rPr>
          <w:rFonts w:hint="eastAsia" w:ascii="仿宋" w:hAnsi="仿宋" w:eastAsia="仿宋"/>
          <w:color w:val="000000"/>
          <w:sz w:val="24"/>
          <w:szCs w:val="32"/>
        </w:rPr>
      </w:pPr>
    </w:p>
    <w:p w14:paraId="2BB9482C">
      <w:pPr>
        <w:spacing w:line="420" w:lineRule="auto"/>
        <w:jc w:val="right"/>
        <w:rPr>
          <w:rFonts w:hint="eastAsia" w:ascii="仿宋" w:hAnsi="仿宋" w:eastAsia="仿宋"/>
          <w:color w:val="000000"/>
          <w:sz w:val="24"/>
          <w:szCs w:val="32"/>
        </w:rPr>
      </w:pPr>
    </w:p>
    <w:p w14:paraId="3DF58928">
      <w:pPr>
        <w:spacing w:line="420" w:lineRule="auto"/>
        <w:jc w:val="right"/>
        <w:rPr>
          <w:rFonts w:hint="eastAsia" w:ascii="仿宋" w:hAnsi="仿宋" w:eastAsia="仿宋"/>
          <w:color w:val="000000"/>
          <w:sz w:val="24"/>
          <w:szCs w:val="32"/>
        </w:rPr>
      </w:pPr>
    </w:p>
    <w:p w14:paraId="03F4B856">
      <w:pPr>
        <w:spacing w:line="420" w:lineRule="auto"/>
        <w:jc w:val="right"/>
        <w:rPr>
          <w:rFonts w:hint="eastAsia" w:ascii="仿宋" w:hAnsi="仿宋" w:eastAsia="仿宋"/>
          <w:color w:val="000000"/>
          <w:sz w:val="24"/>
          <w:szCs w:val="32"/>
        </w:rPr>
      </w:pPr>
    </w:p>
    <w:sectPr>
      <w:pgSz w:w="11906" w:h="16838"/>
      <w:pgMar w:top="1440" w:right="1025"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577">
    <w:pPr>
      <w:pStyle w:val="5"/>
      <w:jc w:val="center"/>
    </w:pPr>
    <w:r>
      <w:fldChar w:fldCharType="begin"/>
    </w:r>
    <w:r>
      <w:instrText xml:space="preserve">PAGE   \* MERGEFORMAT</w:instrText>
    </w:r>
    <w:r>
      <w:fldChar w:fldCharType="separate"/>
    </w:r>
    <w:r>
      <w:rPr>
        <w:lang w:val="zh-CN"/>
      </w:rPr>
      <w:t>7</w:t>
    </w:r>
    <w:r>
      <w:fldChar w:fldCharType="end"/>
    </w:r>
  </w:p>
  <w:p w14:paraId="153FB71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2686619"/>
    <w:rsid w:val="103E0032"/>
    <w:rsid w:val="12314607"/>
    <w:rsid w:val="13ED318D"/>
    <w:rsid w:val="14262AE8"/>
    <w:rsid w:val="14EA1C63"/>
    <w:rsid w:val="1A7F41C1"/>
    <w:rsid w:val="1C0C56CA"/>
    <w:rsid w:val="1D091930"/>
    <w:rsid w:val="1FC879CE"/>
    <w:rsid w:val="2681071E"/>
    <w:rsid w:val="27E654B9"/>
    <w:rsid w:val="292A4EAE"/>
    <w:rsid w:val="2B1C105D"/>
    <w:rsid w:val="2B3001BC"/>
    <w:rsid w:val="2CBA2A54"/>
    <w:rsid w:val="3FB127EC"/>
    <w:rsid w:val="4157360C"/>
    <w:rsid w:val="47570EA5"/>
    <w:rsid w:val="47EA03B2"/>
    <w:rsid w:val="512A5408"/>
    <w:rsid w:val="55552B5E"/>
    <w:rsid w:val="5B151FDB"/>
    <w:rsid w:val="5FAB2A45"/>
    <w:rsid w:val="6C5401BE"/>
    <w:rsid w:val="6DE46C2D"/>
    <w:rsid w:val="6EC66318"/>
    <w:rsid w:val="6EDD2502"/>
    <w:rsid w:val="72A07425"/>
    <w:rsid w:val="74283992"/>
    <w:rsid w:val="76031000"/>
    <w:rsid w:val="771D0BBA"/>
    <w:rsid w:val="776A4B83"/>
    <w:rsid w:val="7BDC717B"/>
    <w:rsid w:val="7CE93D94"/>
    <w:rsid w:val="7E627D9B"/>
    <w:rsid w:val="7F2E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1686</Words>
  <Characters>1756</Characters>
  <Lines>0</Lines>
  <Paragraphs>0</Paragraphs>
  <TotalTime>12</TotalTime>
  <ScaleCrop>false</ScaleCrop>
  <LinksUpToDate>false</LinksUpToDate>
  <CharactersWithSpaces>1845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WPS_1509190672</cp:lastModifiedBy>
  <cp:lastPrinted>2025-06-25T01:08:00Z</cp:lastPrinted>
  <dcterms:modified xsi:type="dcterms:W3CDTF">2025-07-25T00:34:46Z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6CFB2CADB55F442B8244AA7F7D9DE69B_13</vt:lpwstr>
  </property>
  <property fmtid="{D5CDD505-2E9C-101B-9397-08002B2CF9AE}" pid="4" name="KSOTemplateDocerSaveRecord">
    <vt:lpwstr>eyJoZGlkIjoiZGUyMDExNWNhY2JkNDI3YjRmOTk4Y2QzMWZmYzExYmEiLCJ1c2VySWQiOiIzMTc3MzYzNDEifQ==</vt:lpwstr>
  </property>
</Properties>
</file>