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ind w:right="-286" w:rightChars="-136"/>
        <w:jc w:val="center"/>
        <w:rPr>
          <w:rFonts w:hint="eastAsia" w:ascii="黑体" w:hAnsi="宋体" w:eastAsia="黑体"/>
          <w:sz w:val="80"/>
          <w:szCs w:val="80"/>
        </w:rPr>
      </w:pPr>
    </w:p>
    <w:p w14:paraId="12C6B849">
      <w:pPr>
        <w:ind w:right="-286" w:rightChars="-136"/>
        <w:jc w:val="center"/>
        <w:rPr>
          <w:rFonts w:hint="eastAsia" w:ascii="黑体" w:hAnsi="宋体" w:eastAsia="黑体"/>
          <w:sz w:val="80"/>
          <w:szCs w:val="80"/>
        </w:rPr>
      </w:pPr>
    </w:p>
    <w:p w14:paraId="0EF3092B">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1420C15E">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山东路-鞍山路东北象限连接匝道及地下停车场路灯回迁材料（电缆）采购项目</w:t>
      </w:r>
    </w:p>
    <w:p w14:paraId="1C0AA041">
      <w:pPr>
        <w:jc w:val="center"/>
        <w:rPr>
          <w:rFonts w:ascii="黑体" w:hAnsi="宋体" w:eastAsia="黑体"/>
          <w:bCs/>
          <w:sz w:val="24"/>
        </w:rPr>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bookmarkStart w:id="1" w:name="_GoBack"/>
      <w:bookmarkEnd w:id="1"/>
      <w:r>
        <w:rPr>
          <w:rFonts w:hint="eastAsia" w:ascii="黑体" w:hAnsi="宋体" w:eastAsia="黑体"/>
          <w:sz w:val="32"/>
          <w:szCs w:val="32"/>
          <w:u w:val="single"/>
          <w:lang w:eastAsia="zh-CN"/>
        </w:rPr>
        <w:t>青岛诚光城市照明工程有限公司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七</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40A9D497">
      <w:pPr>
        <w:spacing w:before="100" w:beforeAutospacing="1" w:after="100" w:afterAutospacing="1" w:line="440" w:lineRule="exact"/>
        <w:jc w:val="both"/>
        <w:rPr>
          <w:rFonts w:hint="eastAsia" w:ascii="宋体" w:hAnsi="宋体"/>
          <w:b/>
          <w:spacing w:val="-2"/>
          <w:sz w:val="36"/>
          <w:szCs w:val="36"/>
        </w:rPr>
      </w:pPr>
    </w:p>
    <w:p w14:paraId="53311443">
      <w:pPr>
        <w:spacing w:before="100" w:beforeAutospacing="1" w:after="100" w:afterAutospacing="1" w:line="440" w:lineRule="exact"/>
        <w:jc w:val="both"/>
        <w:rPr>
          <w:rFonts w:hint="eastAsia" w:ascii="宋体" w:hAnsi="宋体"/>
          <w:b/>
          <w:spacing w:val="-2"/>
          <w:sz w:val="36"/>
          <w:szCs w:val="36"/>
        </w:rPr>
      </w:pPr>
    </w:p>
    <w:p w14:paraId="3E7F1EB6">
      <w:pPr>
        <w:spacing w:before="100" w:beforeAutospacing="1" w:after="100" w:afterAutospacing="1" w:line="440" w:lineRule="exact"/>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青岛诚光城市照明工程有限公司山东路-鞍山路东北象限连接匝道及地下停车场路灯回迁材料（电缆）采购项目</w:t>
      </w: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9"/>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3F3F04AA">
            <w:pPr>
              <w:spacing w:before="100" w:beforeAutospacing="1" w:after="100" w:afterAutospacing="1" w:line="440" w:lineRule="exact"/>
              <w:ind w:firstLine="480" w:firstLineChars="200"/>
              <w:jc w:val="left"/>
              <w:rPr>
                <w:rFonts w:hint="eastAsia" w:ascii="仿宋_GB2312" w:hAnsi="宋体" w:eastAsia="仿宋_GB2312"/>
                <w:sz w:val="24"/>
              </w:rPr>
            </w:pPr>
            <w:r>
              <w:rPr>
                <w:rFonts w:hint="eastAsia" w:ascii="仿宋_GB2312" w:hAnsi="Calibri" w:eastAsia="仿宋_GB2312" w:cs="微软雅黑"/>
                <w:kern w:val="0"/>
                <w:sz w:val="24"/>
                <w:szCs w:val="24"/>
                <w:highlight w:val="none"/>
                <w:lang w:val="en-US" w:eastAsia="zh-CN"/>
              </w:rPr>
              <w:t>青岛诚光城市照明工程有限公司（以下简称“采购人”）对山东路-鞍山路东北象限连接匝道及地下停车场路灯回迁材料（电缆）采购项目进行询价采购，特邀请符合资质要求且有兴趣的单位参与该项目询价。如有意向，请于2025年7月30日9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eastAsia="仿宋_GB2312"/>
                <w:sz w:val="24"/>
                <w:szCs w:val="24"/>
              </w:rPr>
            </w:pPr>
            <w:r>
              <w:rPr>
                <w:rFonts w:hint="eastAsia" w:ascii="仿宋_GB2312" w:hAnsi="宋体" w:eastAsia="仿宋_GB2312"/>
                <w:sz w:val="24"/>
                <w:szCs w:val="24"/>
              </w:rPr>
              <w:t>项目名称</w:t>
            </w:r>
          </w:p>
        </w:tc>
        <w:tc>
          <w:tcPr>
            <w:tcW w:w="7837" w:type="dxa"/>
            <w:gridSpan w:val="4"/>
            <w:noWrap w:val="0"/>
            <w:vAlign w:val="center"/>
          </w:tcPr>
          <w:p w14:paraId="3CA1759B">
            <w:pPr>
              <w:spacing w:before="100" w:beforeAutospacing="1" w:after="100" w:afterAutospacing="1" w:line="440" w:lineRule="exact"/>
              <w:jc w:val="center"/>
              <w:rPr>
                <w:rFonts w:hint="eastAsia" w:ascii="仿宋_GB2312" w:hAnsi="宋体" w:eastAsia="仿宋_GB2312"/>
                <w:sz w:val="24"/>
                <w:szCs w:val="24"/>
              </w:rPr>
            </w:pPr>
            <w:r>
              <w:rPr>
                <w:rFonts w:hint="eastAsia" w:ascii="仿宋_GB2312" w:hAnsi="Calibri" w:eastAsia="仿宋_GB2312" w:cs="微软雅黑"/>
                <w:kern w:val="0"/>
                <w:sz w:val="24"/>
                <w:szCs w:val="24"/>
                <w:highlight w:val="none"/>
                <w:lang w:val="en-US" w:eastAsia="zh-CN"/>
              </w:rPr>
              <w:t>山东路-鞍山路东北象限连接匝道及地下停车场路灯回迁材料（电缆）采购项目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6D23B1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宋体" w:eastAsia="仿宋_GB2312" w:cs="仿宋_GB2312"/>
                <w:sz w:val="24"/>
                <w:szCs w:val="24"/>
              </w:rPr>
            </w:pPr>
            <w:r>
              <w:rPr>
                <w:rFonts w:hint="eastAsia" w:ascii="仿宋_GB2312" w:hAnsi="宋体" w:eastAsia="仿宋_GB2312" w:cs="仿宋_GB2312"/>
                <w:sz w:val="24"/>
                <w:szCs w:val="24"/>
                <w:lang w:val="en-US" w:eastAsia="zh-CN"/>
              </w:rPr>
              <w:t>1.</w:t>
            </w:r>
            <w:r>
              <w:rPr>
                <w:rFonts w:hint="eastAsia" w:ascii="仿宋_GB2312" w:hAnsi="宋体" w:eastAsia="仿宋_GB2312" w:cs="仿宋_GB2312"/>
                <w:sz w:val="24"/>
                <w:szCs w:val="24"/>
              </w:rPr>
              <w:t>采购内容</w:t>
            </w:r>
            <w:r>
              <w:rPr>
                <w:rFonts w:hint="eastAsia" w:ascii="仿宋_GB2312" w:hAnsi="宋体" w:eastAsia="仿宋_GB2312" w:cs="仿宋_GB2312"/>
                <w:sz w:val="24"/>
                <w:szCs w:val="24"/>
                <w:lang w:val="en-US" w:eastAsia="zh-CN"/>
              </w:rPr>
              <w:t>及规格技术要求</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ZCVV-4*25mm²电缆1048米，ZCVV-2*2.5mm²电缆219米。</w:t>
            </w:r>
          </w:p>
          <w:p w14:paraId="678C9C6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Calibri" w:eastAsia="仿宋_GB2312" w:cs="微软雅黑"/>
                <w:kern w:val="0"/>
                <w:sz w:val="24"/>
                <w:szCs w:val="24"/>
                <w:highlight w:val="none"/>
                <w:lang w:val="en-US" w:eastAsia="zh-CN"/>
              </w:rPr>
            </w:pPr>
            <w:r>
              <w:rPr>
                <w:rFonts w:hint="eastAsia" w:ascii="仿宋_GB2312" w:hAnsi="Calibri" w:eastAsia="仿宋_GB2312" w:cs="微软雅黑"/>
                <w:kern w:val="0"/>
                <w:sz w:val="24"/>
                <w:szCs w:val="24"/>
                <w:highlight w:val="none"/>
                <w:lang w:val="en-US" w:eastAsia="zh-CN"/>
              </w:rPr>
              <w:t>技术要求如下：符合国家颁布的现行施工、验收规范和材料标准以及政府有关文件的规定，需提供质量合格证，技术文件、产品生产许可证、强制认证证书、消防产品检测证书、检测报告等；按要求送有关检测部门进行检测，检验费由中标单位承担；必须使用国家和山东省有关标准材料，并符合相关要求。材料必须满足安全、节能、环保等方面的强制标准，并满足有关工程竣工验收要求；绝缘材料采用聚氯乙烯绝缘及聚氯乙烯护套；主线芯截面分别为：2.5mm²、25mm²（符合国家标准）；绝缘层厚度：不小于1.0mm；衬垫厚度和外护套厚度达到国际标准；长期工作温度不小于65℃—70℃；</w:t>
            </w:r>
          </w:p>
          <w:p w14:paraId="3DD266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宋体" w:eastAsia="仿宋_GB2312" w:cs="仿宋_GB2312"/>
                <w:sz w:val="24"/>
                <w:szCs w:val="24"/>
              </w:rPr>
            </w:pPr>
            <w:r>
              <w:rPr>
                <w:rFonts w:hint="eastAsia" w:ascii="仿宋_GB2312" w:hAnsi="Calibri" w:eastAsia="仿宋_GB2312" w:cs="微软雅黑"/>
                <w:kern w:val="0"/>
                <w:sz w:val="24"/>
                <w:szCs w:val="24"/>
                <w:highlight w:val="none"/>
                <w:lang w:val="en-US" w:eastAsia="zh-CN"/>
              </w:rPr>
              <w:t>短路时（持续时间小于5秒）最高温度不超过摄氏160度；电缆检测指标要求：导线电阻、绝缘电阻、耐压试验均应符合有关规定。</w:t>
            </w:r>
          </w:p>
          <w:p w14:paraId="4643CA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微软雅黑"/>
                <w:kern w:val="0"/>
                <w:sz w:val="24"/>
                <w:szCs w:val="24"/>
                <w:highlight w:val="none"/>
                <w:lang w:val="zh-CN"/>
              </w:rPr>
            </w:pPr>
            <w:r>
              <w:rPr>
                <w:rFonts w:hint="eastAsia" w:ascii="仿宋_GB2312" w:eastAsia="仿宋_GB2312"/>
                <w:sz w:val="24"/>
                <w:szCs w:val="24"/>
                <w:lang w:val="en-US" w:eastAsia="zh-CN"/>
              </w:rPr>
              <w:t>2.</w:t>
            </w:r>
            <w:r>
              <w:rPr>
                <w:rFonts w:hint="eastAsia" w:ascii="仿宋_GB2312" w:eastAsia="仿宋_GB2312"/>
                <w:sz w:val="24"/>
                <w:szCs w:val="24"/>
              </w:rPr>
              <w:t>采购预算：</w:t>
            </w:r>
            <w:r>
              <w:rPr>
                <w:rFonts w:hint="eastAsia" w:ascii="仿宋_GB2312" w:eastAsia="仿宋_GB2312"/>
                <w:sz w:val="24"/>
                <w:szCs w:val="24"/>
                <w:lang w:val="en-US" w:eastAsia="zh-CN"/>
              </w:rPr>
              <w:t>8万</w:t>
            </w:r>
            <w:r>
              <w:rPr>
                <w:rFonts w:hint="eastAsia" w:ascii="仿宋_GB2312" w:eastAsia="仿宋_GB2312"/>
                <w:sz w:val="24"/>
                <w:szCs w:val="24"/>
                <w:highlight w:val="none"/>
              </w:rPr>
              <w:t>元</w:t>
            </w:r>
            <w:r>
              <w:rPr>
                <w:rFonts w:hint="eastAsia" w:ascii="仿宋_GB2312" w:eastAsia="仿宋_GB2312" w:cs="微软雅黑"/>
                <w:kern w:val="0"/>
                <w:sz w:val="24"/>
                <w:szCs w:val="24"/>
                <w:highlight w:val="none"/>
                <w:lang w:val="zh-CN"/>
              </w:rPr>
              <w:t>。</w:t>
            </w:r>
          </w:p>
          <w:p w14:paraId="01B90B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微软雅黑"/>
                <w:kern w:val="0"/>
                <w:sz w:val="24"/>
                <w:szCs w:val="24"/>
                <w:highlight w:val="none"/>
                <w:lang w:val="en-US" w:eastAsia="zh-CN"/>
              </w:rPr>
            </w:pPr>
            <w:r>
              <w:rPr>
                <w:rFonts w:hint="eastAsia" w:ascii="仿宋_GB2312" w:eastAsia="仿宋_GB2312" w:cs="微软雅黑"/>
                <w:kern w:val="0"/>
                <w:sz w:val="24"/>
                <w:szCs w:val="24"/>
                <w:highlight w:val="none"/>
                <w:lang w:val="en-US" w:eastAsia="zh-CN"/>
              </w:rPr>
              <w:t>3.报价：报价采用全费用报价模式，即包含运费及税费等全部相关费用。</w:t>
            </w:r>
          </w:p>
          <w:p w14:paraId="248E4979">
            <w:pPr>
              <w:numPr>
                <w:ilvl w:val="0"/>
                <w:numId w:val="0"/>
              </w:num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cs="微软雅黑"/>
                <w:kern w:val="0"/>
                <w:sz w:val="24"/>
                <w:szCs w:val="24"/>
                <w:lang w:val="zh-CN"/>
              </w:rPr>
              <w:t>4.</w:t>
            </w:r>
            <w:r>
              <w:rPr>
                <w:rFonts w:hint="eastAsia" w:ascii="仿宋_GB2312" w:eastAsia="仿宋_GB2312" w:cs="微软雅黑"/>
                <w:kern w:val="0"/>
                <w:sz w:val="24"/>
                <w:szCs w:val="24"/>
                <w:highlight w:val="none"/>
                <w:lang w:val="zh-CN"/>
              </w:rPr>
              <w:t>询价响应文件</w:t>
            </w:r>
            <w:r>
              <w:rPr>
                <w:rFonts w:hint="eastAsia" w:ascii="仿宋_GB2312" w:eastAsia="仿宋_GB2312" w:cs="微软雅黑"/>
                <w:kern w:val="0"/>
                <w:sz w:val="24"/>
                <w:szCs w:val="24"/>
                <w:highlight w:val="none"/>
                <w:lang w:val="en-US" w:eastAsia="zh-CN"/>
              </w:rPr>
              <w:t>包括</w:t>
            </w:r>
            <w:r>
              <w:rPr>
                <w:rFonts w:hint="eastAsia" w:ascii="仿宋_GB2312" w:eastAsia="仿宋_GB2312" w:cs="微软雅黑"/>
                <w:kern w:val="0"/>
                <w:sz w:val="24"/>
                <w:szCs w:val="24"/>
                <w:highlight w:val="none"/>
                <w:lang w:val="zh-CN"/>
              </w:rPr>
              <w:t>：报价及</w:t>
            </w:r>
            <w:r>
              <w:rPr>
                <w:rFonts w:hint="eastAsia" w:ascii="仿宋_GB2312" w:eastAsia="仿宋_GB2312" w:cs="微软雅黑"/>
                <w:kern w:val="0"/>
                <w:sz w:val="24"/>
                <w:szCs w:val="24"/>
                <w:highlight w:val="none"/>
                <w:lang w:val="en-US" w:eastAsia="zh-CN"/>
              </w:rPr>
              <w:t>供货</w:t>
            </w:r>
            <w:r>
              <w:rPr>
                <w:rFonts w:hint="eastAsia" w:ascii="仿宋_GB2312" w:eastAsia="仿宋_GB2312" w:cs="微软雅黑"/>
                <w:kern w:val="0"/>
                <w:sz w:val="24"/>
                <w:szCs w:val="24"/>
                <w:highlight w:val="none"/>
                <w:lang w:val="zh-CN"/>
              </w:rPr>
              <w:t>方案</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企业介绍（包含企业规模、企业资质</w:t>
            </w:r>
            <w:r>
              <w:rPr>
                <w:rFonts w:hint="eastAsia" w:ascii="仿宋_GB2312" w:eastAsia="仿宋_GB2312" w:cs="微软雅黑"/>
                <w:kern w:val="0"/>
                <w:sz w:val="24"/>
                <w:szCs w:val="24"/>
                <w:highlight w:val="none"/>
                <w:lang w:val="en-US" w:eastAsia="zh-CN"/>
              </w:rPr>
              <w:t>及业绩等</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声明函</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营业执照副本复印件</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信用查询情况截图</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报价单位认为应介绍或者提交的资料、文件和说明</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内容按附件格式，复印件均需加盖公章并装订。</w:t>
            </w:r>
          </w:p>
          <w:p w14:paraId="634754DD">
            <w:pPr>
              <w:spacing w:line="480" w:lineRule="exact"/>
              <w:ind w:firstLine="480" w:firstLineChars="200"/>
              <w:rPr>
                <w:rFonts w:hint="eastAsia" w:ascii="仿宋_GB2312" w:eastAsia="仿宋_GB2312" w:cs="微软雅黑"/>
                <w:kern w:val="0"/>
                <w:sz w:val="24"/>
                <w:szCs w:val="24"/>
                <w:lang w:val="zh-CN"/>
              </w:rPr>
            </w:pPr>
            <w:r>
              <w:rPr>
                <w:rFonts w:hint="eastAsia" w:ascii="仿宋_GB2312" w:eastAsia="仿宋_GB2312" w:cs="微软雅黑"/>
                <w:kern w:val="0"/>
                <w:sz w:val="24"/>
                <w:szCs w:val="24"/>
                <w:highlight w:val="none"/>
                <w:lang w:val="zh-CN"/>
              </w:rPr>
              <w:t>5.</w:t>
            </w:r>
            <w:r>
              <w:rPr>
                <w:rFonts w:hint="eastAsia" w:ascii="仿宋_GB2312" w:eastAsia="仿宋_GB2312" w:cs="微软雅黑"/>
                <w:kern w:val="0"/>
                <w:sz w:val="24"/>
                <w:szCs w:val="24"/>
                <w:lang w:val="en-US" w:eastAsia="zh-CN"/>
              </w:rPr>
              <w:t>评标方法</w:t>
            </w:r>
            <w:r>
              <w:rPr>
                <w:rFonts w:hint="eastAsia" w:ascii="仿宋_GB2312" w:eastAsia="仿宋_GB2312" w:cs="微软雅黑"/>
                <w:kern w:val="0"/>
                <w:sz w:val="24"/>
                <w:szCs w:val="24"/>
                <w:lang w:val="zh-CN"/>
              </w:rPr>
              <w:t>：</w:t>
            </w:r>
            <w:r>
              <w:rPr>
                <w:rFonts w:hint="eastAsia" w:ascii="仿宋_GB2312" w:eastAsia="仿宋_GB2312" w:cs="微软雅黑"/>
                <w:kern w:val="0"/>
                <w:sz w:val="24"/>
                <w:szCs w:val="24"/>
                <w:highlight w:val="none"/>
                <w:lang w:val="en-US" w:eastAsia="zh-CN"/>
              </w:rPr>
              <w:t>综合评分法</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en-US" w:eastAsia="zh-CN"/>
              </w:rPr>
              <w:t>评分内容包括：报价、供货方案、质量保证措施、售后服务机构、质保期、提供样品（现场打分）、技术参数（证明材料）、业绩、账期等。</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shd w:val="clear" w:color="auto" w:fill="auto"/>
            <w:noWrap w:val="0"/>
            <w:vAlign w:val="center"/>
          </w:tcPr>
          <w:p w14:paraId="3CBF1DD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highlight w:val="none"/>
              </w:rPr>
              <w:t>付款方式</w:t>
            </w:r>
          </w:p>
        </w:tc>
        <w:tc>
          <w:tcPr>
            <w:tcW w:w="7158" w:type="dxa"/>
            <w:gridSpan w:val="3"/>
            <w:shd w:val="clear" w:color="auto" w:fill="auto"/>
            <w:noWrap w:val="0"/>
            <w:vAlign w:val="center"/>
          </w:tcPr>
          <w:p w14:paraId="2AA95B86">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shd w:val="clear" w:color="auto" w:fill="auto"/>
            <w:noWrap w:val="0"/>
            <w:vAlign w:val="center"/>
          </w:tcPr>
          <w:p w14:paraId="3B44CD06">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服务时间</w:t>
            </w:r>
          </w:p>
        </w:tc>
        <w:tc>
          <w:tcPr>
            <w:tcW w:w="7158" w:type="dxa"/>
            <w:gridSpan w:val="3"/>
            <w:shd w:val="clear" w:color="auto" w:fill="auto"/>
            <w:noWrap w:val="0"/>
            <w:vAlign w:val="center"/>
          </w:tcPr>
          <w:p w14:paraId="6E6BDDA7">
            <w:pPr>
              <w:tabs>
                <w:tab w:val="left" w:pos="2553"/>
                <w:tab w:val="center" w:pos="3531"/>
              </w:tabs>
              <w:spacing w:before="100" w:beforeAutospacing="1" w:after="100" w:afterAutospacing="1" w:line="480" w:lineRule="exact"/>
              <w:jc w:val="left"/>
              <w:rPr>
                <w:rFonts w:hint="default" w:ascii="仿宋_GB2312" w:eastAsia="仿宋_GB2312" w:hAnsiTheme="minorHAnsi" w:cstheme="minorBidi"/>
                <w:kern w:val="2"/>
                <w:sz w:val="28"/>
                <w:szCs w:val="28"/>
                <w:lang w:val="en-US" w:eastAsia="zh-CN" w:bidi="ar-SA"/>
              </w:rPr>
            </w:pPr>
            <w:r>
              <w:rPr>
                <w:rFonts w:hint="eastAsia" w:ascii="仿宋_GB2312" w:hAnsi="Arial" w:eastAsia="仿宋_GB2312" w:cs="Arial"/>
                <w:sz w:val="24"/>
                <w:lang w:val="en-US" w:eastAsia="zh-CN"/>
              </w:rPr>
              <w:tab/>
            </w:r>
            <w:r>
              <w:rPr>
                <w:rFonts w:hint="eastAsia" w:ascii="仿宋_GB2312" w:hAnsi="Arial" w:eastAsia="仿宋_GB2312" w:cs="Arial"/>
                <w:sz w:val="24"/>
                <w:lang w:val="en-US" w:eastAsia="zh-CN"/>
              </w:rPr>
              <w:t xml:space="preserve"> 按照合同约定</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shd w:val="clear" w:color="auto" w:fill="auto"/>
            <w:noWrap w:val="0"/>
            <w:vAlign w:val="center"/>
          </w:tcPr>
          <w:p w14:paraId="09D04DCF">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询价响应文件提交截止时间</w:t>
            </w:r>
          </w:p>
        </w:tc>
        <w:tc>
          <w:tcPr>
            <w:tcW w:w="7158" w:type="dxa"/>
            <w:gridSpan w:val="3"/>
            <w:shd w:val="clear" w:color="auto" w:fill="auto"/>
            <w:noWrap w:val="0"/>
            <w:vAlign w:val="center"/>
          </w:tcPr>
          <w:p w14:paraId="313217A3">
            <w:pPr>
              <w:spacing w:before="100" w:beforeAutospacing="1" w:after="100" w:afterAutospacing="1"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highlight w:val="none"/>
              </w:rPr>
              <w:t>20</w:t>
            </w:r>
            <w:r>
              <w:rPr>
                <w:rFonts w:ascii="仿宋_GB2312" w:hAnsi="Arial" w:eastAsia="仿宋_GB2312" w:cs="Arial"/>
                <w:sz w:val="24"/>
                <w:highlight w:val="none"/>
              </w:rPr>
              <w:t>2</w:t>
            </w:r>
            <w:r>
              <w:rPr>
                <w:rFonts w:hint="eastAsia" w:ascii="仿宋_GB2312" w:hAnsi="Arial" w:eastAsia="仿宋_GB2312" w:cs="Arial"/>
                <w:sz w:val="24"/>
                <w:highlight w:val="none"/>
                <w:lang w:val="en-US" w:eastAsia="zh-CN"/>
              </w:rPr>
              <w:t>5</w:t>
            </w:r>
            <w:r>
              <w:rPr>
                <w:rFonts w:hint="eastAsia" w:ascii="仿宋_GB2312" w:hAnsi="Arial" w:eastAsia="仿宋_GB2312" w:cs="Arial"/>
                <w:sz w:val="24"/>
                <w:highlight w:val="none"/>
              </w:rPr>
              <w:t>年</w:t>
            </w:r>
            <w:r>
              <w:rPr>
                <w:rFonts w:hint="eastAsia" w:ascii="仿宋_GB2312" w:hAnsi="Arial" w:eastAsia="仿宋_GB2312" w:cs="Arial"/>
                <w:sz w:val="24"/>
                <w:highlight w:val="none"/>
                <w:lang w:val="en-US" w:eastAsia="zh-CN"/>
              </w:rPr>
              <w:t>7</w:t>
            </w:r>
            <w:r>
              <w:rPr>
                <w:rFonts w:hint="eastAsia" w:ascii="仿宋_GB2312" w:hAnsi="Arial" w:eastAsia="仿宋_GB2312" w:cs="Arial"/>
                <w:sz w:val="24"/>
                <w:highlight w:val="none"/>
              </w:rPr>
              <w:t>月</w:t>
            </w:r>
            <w:r>
              <w:rPr>
                <w:rFonts w:hint="eastAsia" w:ascii="仿宋_GB2312" w:hAnsi="Arial" w:eastAsia="仿宋_GB2312" w:cs="Arial"/>
                <w:sz w:val="24"/>
                <w:highlight w:val="none"/>
                <w:lang w:val="en-US" w:eastAsia="zh-CN"/>
              </w:rPr>
              <w:t>30</w:t>
            </w:r>
            <w:r>
              <w:rPr>
                <w:rFonts w:hint="eastAsia" w:ascii="仿宋_GB2312" w:hAnsi="Arial" w:eastAsia="仿宋_GB2312" w:cs="Arial"/>
                <w:sz w:val="24"/>
                <w:highlight w:val="none"/>
              </w:rPr>
              <w:t>日</w:t>
            </w:r>
            <w:r>
              <w:rPr>
                <w:rFonts w:hint="eastAsia" w:ascii="仿宋_GB2312" w:hAnsi="Arial" w:eastAsia="仿宋_GB2312" w:cs="Arial"/>
                <w:sz w:val="24"/>
                <w:highlight w:val="none"/>
                <w:lang w:val="en-US" w:eastAsia="zh-CN"/>
              </w:rPr>
              <w:t>9</w:t>
            </w:r>
            <w:r>
              <w:rPr>
                <w:rFonts w:hint="eastAsia" w:ascii="仿宋_GB2312" w:hAnsi="Arial" w:eastAsia="仿宋_GB2312" w:cs="Arial"/>
                <w:sz w:val="24"/>
                <w:highlight w:val="none"/>
              </w:rPr>
              <w:t>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shd w:val="clear" w:color="auto" w:fill="auto"/>
            <w:noWrap w:val="0"/>
            <w:vAlign w:val="center"/>
          </w:tcPr>
          <w:p w14:paraId="37B770C4">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报价地点</w:t>
            </w:r>
          </w:p>
        </w:tc>
        <w:tc>
          <w:tcPr>
            <w:tcW w:w="7158" w:type="dxa"/>
            <w:gridSpan w:val="3"/>
            <w:shd w:val="clear" w:color="auto" w:fill="auto"/>
            <w:noWrap w:val="0"/>
            <w:vAlign w:val="center"/>
          </w:tcPr>
          <w:p w14:paraId="7EF2EC2A">
            <w:pPr>
              <w:spacing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shd w:val="clear" w:color="auto" w:fill="auto"/>
            <w:noWrap w:val="0"/>
            <w:vAlign w:val="center"/>
          </w:tcPr>
          <w:p w14:paraId="736C1CB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采购单位名称</w:t>
            </w:r>
          </w:p>
        </w:tc>
        <w:tc>
          <w:tcPr>
            <w:tcW w:w="7158" w:type="dxa"/>
            <w:gridSpan w:val="3"/>
            <w:shd w:val="clear" w:color="auto" w:fill="auto"/>
            <w:noWrap w:val="0"/>
            <w:vAlign w:val="center"/>
          </w:tcPr>
          <w:p w14:paraId="13E1CFBE">
            <w:pPr>
              <w:spacing w:before="100" w:beforeAutospacing="1" w:after="100" w:afterAutospacing="1" w:line="480" w:lineRule="exact"/>
              <w:jc w:val="center"/>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青岛诚光城市照明工程有限公司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shd w:val="clear" w:color="auto" w:fill="auto"/>
            <w:noWrap w:val="0"/>
            <w:vAlign w:val="center"/>
          </w:tcPr>
          <w:p w14:paraId="6CB50E00">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电子邮箱</w:t>
            </w:r>
          </w:p>
        </w:tc>
        <w:tc>
          <w:tcPr>
            <w:tcW w:w="7158" w:type="dxa"/>
            <w:gridSpan w:val="3"/>
            <w:shd w:val="clear" w:color="auto" w:fill="auto"/>
            <w:noWrap w:val="0"/>
            <w:vAlign w:val="center"/>
          </w:tcPr>
          <w:p w14:paraId="147B5B2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default" w:ascii="仿宋_GB2312" w:hAnsi="Arial" w:eastAsia="仿宋_GB2312" w:cs="Arial"/>
                <w:sz w:val="24"/>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shd w:val="clear" w:color="auto" w:fill="auto"/>
            <w:noWrap w:val="0"/>
            <w:vAlign w:val="center"/>
          </w:tcPr>
          <w:p w14:paraId="7CE804DD">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采购单位联系人</w:t>
            </w:r>
          </w:p>
        </w:tc>
        <w:tc>
          <w:tcPr>
            <w:tcW w:w="2556" w:type="dxa"/>
            <w:shd w:val="clear" w:color="auto" w:fill="auto"/>
            <w:noWrap w:val="0"/>
            <w:vAlign w:val="center"/>
          </w:tcPr>
          <w:p w14:paraId="4783A1F2">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kern w:val="2"/>
                <w:sz w:val="24"/>
                <w:szCs w:val="24"/>
                <w:highlight w:val="none"/>
                <w:lang w:val="en-US" w:eastAsia="zh-CN" w:bidi="ar-SA"/>
              </w:rPr>
              <w:t>郑工</w:t>
            </w:r>
          </w:p>
        </w:tc>
        <w:tc>
          <w:tcPr>
            <w:tcW w:w="1424" w:type="dxa"/>
            <w:shd w:val="clear" w:color="auto" w:fill="auto"/>
            <w:noWrap w:val="0"/>
            <w:vAlign w:val="center"/>
          </w:tcPr>
          <w:p w14:paraId="29A739EB">
            <w:pPr>
              <w:spacing w:before="100" w:beforeAutospacing="1" w:after="100" w:afterAutospacing="1"/>
              <w:jc w:val="center"/>
              <w:rPr>
                <w:rFonts w:hint="eastAsia"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rPr>
              <w:t>电话</w:t>
            </w:r>
          </w:p>
        </w:tc>
        <w:tc>
          <w:tcPr>
            <w:tcW w:w="3178" w:type="dxa"/>
            <w:shd w:val="clear" w:color="auto" w:fill="auto"/>
            <w:noWrap w:val="0"/>
            <w:vAlign w:val="center"/>
          </w:tcPr>
          <w:p w14:paraId="6B33838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lang w:val="en-US" w:eastAsia="zh-CN"/>
              </w:rPr>
              <w:t>15066816956</w:t>
            </w:r>
          </w:p>
        </w:tc>
      </w:tr>
    </w:tbl>
    <w:p w14:paraId="08F75CE3">
      <w:pPr>
        <w:autoSpaceDE w:val="0"/>
        <w:autoSpaceDN w:val="0"/>
        <w:adjustRightInd w:val="0"/>
        <w:spacing w:line="360" w:lineRule="auto"/>
        <w:rPr>
          <w:rFonts w:hint="eastAsia" w:ascii="仿宋_GB2312" w:eastAsia="仿宋_GB2312"/>
          <w:sz w:val="24"/>
          <w:lang w:val="en-US" w:eastAsia="zh-CN"/>
        </w:rPr>
        <w:sectPr>
          <w:headerReference r:id="rId3" w:type="default"/>
          <w:pgSz w:w="11906" w:h="16838"/>
          <w:pgMar w:top="1440" w:right="1800" w:bottom="1440" w:left="1800" w:header="851" w:footer="992" w:gutter="0"/>
          <w:cols w:space="720" w:num="1"/>
          <w:docGrid w:type="lines" w:linePitch="312" w:charSpace="0"/>
        </w:sectPr>
      </w:pPr>
    </w:p>
    <w:p w14:paraId="06B1F068">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0BCF5393">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山东路-鞍山路东北象限连接匝道及地下停车场路灯回迁材料（电缆）采购项目</w:t>
      </w: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F2F63BC">
      <w:pPr>
        <w:spacing w:before="100" w:beforeAutospacing="1" w:after="100" w:afterAutospacing="1" w:line="440" w:lineRule="exact"/>
        <w:jc w:val="center"/>
        <w:rPr>
          <w:rFonts w:hint="eastAsia" w:ascii="宋体" w:hAnsi="宋体"/>
          <w:b/>
          <w:spacing w:val="-2"/>
          <w:sz w:val="36"/>
          <w:szCs w:val="36"/>
        </w:rPr>
      </w:pPr>
    </w:p>
    <w:p w14:paraId="2E2B4868">
      <w:pPr>
        <w:spacing w:before="100" w:beforeAutospacing="1" w:after="100" w:afterAutospacing="1" w:line="440" w:lineRule="exact"/>
        <w:jc w:val="both"/>
        <w:rPr>
          <w:rFonts w:hint="eastAsia" w:ascii="宋体" w:hAnsi="宋体"/>
          <w:b/>
          <w:spacing w:val="-2"/>
          <w:sz w:val="36"/>
          <w:szCs w:val="36"/>
        </w:rPr>
      </w:pPr>
    </w:p>
    <w:p w14:paraId="11DFF1D5">
      <w:pPr>
        <w:spacing w:before="100" w:beforeAutospacing="1" w:after="100" w:afterAutospacing="1" w:line="440" w:lineRule="exact"/>
        <w:jc w:val="both"/>
        <w:rPr>
          <w:rFonts w:hint="eastAsia" w:ascii="宋体" w:hAnsi="宋体"/>
          <w:b/>
          <w:spacing w:val="-2"/>
          <w:sz w:val="36"/>
          <w:szCs w:val="36"/>
        </w:rPr>
      </w:pPr>
    </w:p>
    <w:p w14:paraId="3C611CA2">
      <w:pPr>
        <w:spacing w:before="100" w:beforeAutospacing="1" w:after="100" w:afterAutospacing="1" w:line="440" w:lineRule="exact"/>
        <w:jc w:val="both"/>
        <w:rPr>
          <w:rFonts w:hint="eastAsia" w:ascii="宋体" w:hAnsi="宋体"/>
          <w:b/>
          <w:spacing w:val="-2"/>
          <w:sz w:val="36"/>
          <w:szCs w:val="36"/>
        </w:rPr>
      </w:pPr>
    </w:p>
    <w:p w14:paraId="638FF953">
      <w:pPr>
        <w:spacing w:before="100" w:beforeAutospacing="1" w:after="100" w:afterAutospacing="1" w:line="440" w:lineRule="exact"/>
        <w:jc w:val="both"/>
        <w:rPr>
          <w:rFonts w:hint="eastAsia" w:ascii="宋体" w:hAnsi="宋体"/>
          <w:b/>
          <w:spacing w:val="-2"/>
          <w:sz w:val="36"/>
          <w:szCs w:val="36"/>
        </w:rPr>
      </w:pPr>
    </w:p>
    <w:p w14:paraId="7873C547">
      <w:pPr>
        <w:spacing w:before="100" w:beforeAutospacing="1" w:after="100" w:afterAutospacing="1" w:line="440" w:lineRule="exact"/>
        <w:jc w:val="both"/>
        <w:rPr>
          <w:rFonts w:hint="eastAsia" w:ascii="宋体" w:hAnsi="宋体"/>
          <w:b/>
          <w:spacing w:val="-2"/>
          <w:sz w:val="36"/>
          <w:szCs w:val="36"/>
        </w:rPr>
      </w:pPr>
    </w:p>
    <w:p w14:paraId="48121661">
      <w:pPr>
        <w:spacing w:before="100" w:beforeAutospacing="1" w:after="100" w:afterAutospacing="1" w:line="440" w:lineRule="exact"/>
        <w:jc w:val="both"/>
        <w:rPr>
          <w:rFonts w:hint="eastAsia" w:ascii="宋体" w:hAnsi="宋体"/>
          <w:b/>
          <w:spacing w:val="-2"/>
          <w:sz w:val="36"/>
          <w:szCs w:val="36"/>
        </w:rPr>
      </w:pPr>
    </w:p>
    <w:p w14:paraId="417621E1">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18B09BDE">
      <w:pPr>
        <w:adjustRightInd w:val="0"/>
        <w:snapToGrid w:val="0"/>
        <w:spacing w:line="560" w:lineRule="exact"/>
        <w:ind w:firstLine="560" w:firstLineChars="200"/>
        <w:jc w:val="both"/>
        <w:rPr>
          <w:rFonts w:hint="eastAsia" w:ascii="仿宋_GB2312" w:hAnsi="仿宋" w:eastAsia="仿宋_GB2312" w:cs="微软雅黑"/>
          <w:bCs/>
          <w:sz w:val="28"/>
          <w:szCs w:val="28"/>
          <w:lang w:eastAsia="zh-CN"/>
        </w:rPr>
      </w:pPr>
      <w:r>
        <w:rPr>
          <w:rFonts w:hint="eastAsia" w:ascii="仿宋_GB2312" w:hAnsi="仿宋" w:eastAsia="仿宋_GB2312" w:cs="微软雅黑"/>
          <w:bCs/>
          <w:sz w:val="28"/>
          <w:szCs w:val="28"/>
          <w:lang w:val="en-US" w:eastAsia="zh-CN"/>
        </w:rPr>
        <w:t>（4）</w:t>
      </w:r>
      <w:r>
        <w:rPr>
          <w:rFonts w:hint="eastAsia" w:ascii="仿宋_GB2312" w:hAnsi="仿宋" w:eastAsia="仿宋_GB2312" w:cs="微软雅黑"/>
          <w:bCs/>
          <w:sz w:val="28"/>
          <w:szCs w:val="28"/>
        </w:rPr>
        <w:t>报价人认为应介绍或者提交的资料、文件和说明</w:t>
      </w:r>
      <w:r>
        <w:rPr>
          <w:rFonts w:hint="eastAsia" w:ascii="仿宋_GB2312" w:hAnsi="仿宋" w:eastAsia="仿宋_GB2312" w:cs="微软雅黑"/>
          <w:bCs/>
          <w:sz w:val="28"/>
          <w:szCs w:val="28"/>
          <w:lang w:eastAsia="zh-CN"/>
        </w:rPr>
        <w:t>；</w:t>
      </w:r>
    </w:p>
    <w:p w14:paraId="505039FF">
      <w:pPr>
        <w:adjustRightInd w:val="0"/>
        <w:snapToGrid w:val="0"/>
        <w:spacing w:line="560" w:lineRule="exact"/>
        <w:ind w:firstLine="560" w:firstLineChars="200"/>
        <w:jc w:val="both"/>
        <w:rPr>
          <w:rFonts w:hint="eastAsia" w:ascii="仿宋_GB2312" w:hAnsi="仿宋" w:eastAsia="仿宋_GB2312" w:cs="微软雅黑"/>
          <w:bCs/>
          <w:sz w:val="28"/>
          <w:szCs w:val="28"/>
          <w:lang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5</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授权代理人委托书（格式自拟）。</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43512A38">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35F1929B">
      <w:pPr>
        <w:adjustRightInd w:val="0"/>
        <w:snapToGrid w:val="0"/>
        <w:spacing w:line="560" w:lineRule="exact"/>
        <w:ind w:firstLine="562" w:firstLineChars="200"/>
        <w:jc w:val="both"/>
        <w:rPr>
          <w:rFonts w:ascii="仿宋_GB2312" w:hAnsi="仿宋" w:eastAsia="仿宋_GB2312" w:cs="微软雅黑"/>
          <w:bCs/>
          <w:color w:val="auto"/>
          <w:sz w:val="28"/>
          <w:szCs w:val="28"/>
        </w:rPr>
      </w:pPr>
      <w:r>
        <w:rPr>
          <w:rFonts w:hint="eastAsia" w:ascii="仿宋_GB2312" w:hAnsi="仿宋" w:eastAsia="仿宋_GB2312" w:cs="微软雅黑"/>
          <w:b/>
          <w:bCs w:val="0"/>
          <w:color w:val="auto"/>
          <w:sz w:val="28"/>
          <w:szCs w:val="28"/>
          <w:lang w:val="en-US" w:eastAsia="zh-CN"/>
        </w:rPr>
        <w:t>3</w:t>
      </w:r>
      <w:r>
        <w:rPr>
          <w:rFonts w:hint="eastAsia" w:ascii="仿宋_GB2312" w:hAnsi="仿宋" w:eastAsia="仿宋_GB2312" w:cs="微软雅黑"/>
          <w:b/>
          <w:bCs w:val="0"/>
          <w:color w:val="auto"/>
          <w:sz w:val="28"/>
          <w:szCs w:val="28"/>
        </w:rPr>
        <w:t>.企业</w:t>
      </w:r>
      <w:r>
        <w:rPr>
          <w:rFonts w:hint="eastAsia" w:ascii="仿宋_GB2312" w:hAnsi="仿宋" w:eastAsia="仿宋_GB2312" w:cs="微软雅黑"/>
          <w:b/>
          <w:bCs w:val="0"/>
          <w:color w:val="auto"/>
          <w:sz w:val="28"/>
          <w:szCs w:val="28"/>
          <w:lang w:val="en-US" w:eastAsia="zh-CN"/>
        </w:rPr>
        <w:t>业绩证明资料</w:t>
      </w:r>
      <w:r>
        <w:rPr>
          <w:rFonts w:hint="eastAsia" w:ascii="仿宋_GB2312" w:hAnsi="仿宋" w:eastAsia="仿宋_GB2312" w:cs="微软雅黑"/>
          <w:b/>
          <w:bCs/>
          <w:color w:val="auto"/>
          <w:sz w:val="28"/>
          <w:szCs w:val="28"/>
          <w:lang w:eastAsia="zh-CN"/>
        </w:rPr>
        <w:t>：</w:t>
      </w:r>
      <w:r>
        <w:rPr>
          <w:rFonts w:hint="eastAsia" w:ascii="仿宋_GB2312" w:hAnsi="仿宋" w:eastAsia="仿宋_GB2312" w:cs="微软雅黑"/>
          <w:bCs/>
          <w:color w:val="auto"/>
          <w:sz w:val="28"/>
          <w:szCs w:val="28"/>
          <w:lang w:val="en-US" w:eastAsia="zh-CN"/>
        </w:rPr>
        <w:t>报价人近3年（以合同签订时间为准）类似服务业绩合同（合同额均不低于本项目采购控制价），提供业绩清单（格式自拟）及合同复印件并加盖公章</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4.</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青岛诚光城市照明工程有限公司山东路-鞍山路东北象限连接匝道及地下停车场路灯回迁材料（</w:t>
      </w:r>
      <w:r>
        <w:rPr>
          <w:rFonts w:hint="eastAsia" w:ascii="仿宋" w:hAnsi="仿宋" w:eastAsia="仿宋"/>
          <w:color w:val="000000"/>
          <w:u w:val="single"/>
          <w:lang w:eastAsia="zh-CN"/>
        </w:rPr>
        <w:t>电缆</w:t>
      </w:r>
      <w:r>
        <w:rPr>
          <w:rFonts w:hint="eastAsia" w:ascii="仿宋" w:hAnsi="仿宋" w:eastAsia="仿宋"/>
          <w:color w:val="000000"/>
          <w:u w:val="single"/>
        </w:rPr>
        <w:t>）采购项目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ascii="仿宋" w:hAnsi="仿宋" w:eastAsia="仿宋"/>
          <w:color w:val="000000"/>
        </w:rPr>
        <w:t>202</w:t>
      </w:r>
      <w:r>
        <w:rPr>
          <w:rFonts w:hint="eastAsia" w:ascii="仿宋" w:hAnsi="仿宋" w:eastAsia="仿宋"/>
          <w:color w:val="000000"/>
          <w:lang w:val="en-US" w:eastAsia="zh-CN"/>
        </w:rPr>
        <w:t>5</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26F82D58">
      <w:pPr>
        <w:spacing w:line="360" w:lineRule="auto"/>
        <w:rPr>
          <w:rFonts w:hint="eastAsia" w:ascii="黑体" w:hAnsi="黑体" w:eastAsia="黑体" w:cs="微软雅黑"/>
          <w:bCs/>
          <w:sz w:val="28"/>
          <w:szCs w:val="28"/>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widowControl/>
        <w:autoSpaceDE w:val="0"/>
        <w:autoSpaceDN w:val="0"/>
        <w:adjustRightInd w:val="0"/>
        <w:spacing w:before="120" w:after="120" w:line="300" w:lineRule="auto"/>
        <w:ind w:right="-481"/>
        <w:jc w:val="center"/>
        <w:rPr>
          <w:rFonts w:ascii="仿宋" w:hAnsi="仿宋" w:eastAsia="仿宋"/>
          <w:kern w:val="1"/>
          <w:sz w:val="28"/>
          <w:szCs w:val="28"/>
        </w:rPr>
      </w:pPr>
      <w:bookmarkStart w:id="0" w:name="_Toc406740774"/>
      <w:r>
        <w:rPr>
          <w:rFonts w:hint="eastAsia" w:ascii="仿宋" w:hAnsi="仿宋" w:eastAsia="仿宋" w:cs="宋体"/>
          <w:kern w:val="1"/>
          <w:sz w:val="28"/>
          <w:szCs w:val="28"/>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青岛诚光城市照明工程有限公司</w:t>
      </w:r>
      <w:r>
        <w:rPr>
          <w:rStyle w:val="13"/>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14:paraId="170D75E0">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14:paraId="6A9BF40F">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14:paraId="2246E560">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2B282740">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1711"/>
        <w:gridCol w:w="1490"/>
        <w:gridCol w:w="1330"/>
        <w:gridCol w:w="1330"/>
      </w:tblGrid>
      <w:tr w14:paraId="013B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9"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486"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类别</w:t>
            </w:r>
          </w:p>
        </w:tc>
        <w:tc>
          <w:tcPr>
            <w:tcW w:w="1711" w:type="dxa"/>
            <w:vAlign w:val="center"/>
          </w:tcPr>
          <w:p w14:paraId="1A3512A1">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材料名称</w:t>
            </w:r>
          </w:p>
        </w:tc>
        <w:tc>
          <w:tcPr>
            <w:tcW w:w="1490"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数量（米）</w:t>
            </w:r>
          </w:p>
        </w:tc>
        <w:tc>
          <w:tcPr>
            <w:tcW w:w="1330"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单价（元）</w:t>
            </w:r>
          </w:p>
        </w:tc>
        <w:tc>
          <w:tcPr>
            <w:tcW w:w="1330" w:type="dxa"/>
            <w:vAlign w:val="center"/>
          </w:tcPr>
          <w:p w14:paraId="50642285">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总价（元）</w:t>
            </w:r>
          </w:p>
        </w:tc>
      </w:tr>
      <w:tr w14:paraId="6CF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486" w:type="dxa"/>
            <w:vAlign w:val="center"/>
          </w:tcPr>
          <w:p w14:paraId="390DA7EB">
            <w:pPr>
              <w:spacing w:line="360" w:lineRule="auto"/>
              <w:jc w:val="center"/>
              <w:rPr>
                <w:rFonts w:ascii="仿宋_GB2312" w:hAnsi="仿宋" w:eastAsia="仿宋_GB2312" w:cs="微软雅黑"/>
                <w:bCs/>
                <w:sz w:val="24"/>
                <w:szCs w:val="24"/>
                <w:vertAlign w:val="baseline"/>
              </w:rPr>
            </w:pPr>
          </w:p>
        </w:tc>
        <w:tc>
          <w:tcPr>
            <w:tcW w:w="1711" w:type="dxa"/>
            <w:vAlign w:val="center"/>
          </w:tcPr>
          <w:p w14:paraId="61625D0F">
            <w:pPr>
              <w:spacing w:line="360" w:lineRule="auto"/>
              <w:jc w:val="center"/>
              <w:rPr>
                <w:rFonts w:ascii="仿宋_GB2312" w:hAnsi="仿宋" w:eastAsia="仿宋_GB2312" w:cs="微软雅黑"/>
                <w:bCs/>
                <w:sz w:val="24"/>
                <w:szCs w:val="24"/>
                <w:vertAlign w:val="baseline"/>
              </w:rPr>
            </w:pPr>
          </w:p>
        </w:tc>
        <w:tc>
          <w:tcPr>
            <w:tcW w:w="1490" w:type="dxa"/>
            <w:vAlign w:val="center"/>
          </w:tcPr>
          <w:p w14:paraId="387F9E72">
            <w:pPr>
              <w:spacing w:line="360" w:lineRule="auto"/>
              <w:jc w:val="center"/>
              <w:rPr>
                <w:rFonts w:ascii="仿宋_GB2312" w:hAnsi="仿宋" w:eastAsia="仿宋_GB2312" w:cs="微软雅黑"/>
                <w:bCs/>
                <w:sz w:val="24"/>
                <w:szCs w:val="24"/>
                <w:vertAlign w:val="baseline"/>
              </w:rPr>
            </w:pPr>
          </w:p>
        </w:tc>
        <w:tc>
          <w:tcPr>
            <w:tcW w:w="1330" w:type="dxa"/>
            <w:vAlign w:val="center"/>
          </w:tcPr>
          <w:p w14:paraId="13477F5C">
            <w:pPr>
              <w:spacing w:line="360" w:lineRule="auto"/>
              <w:jc w:val="center"/>
              <w:rPr>
                <w:rFonts w:ascii="仿宋_GB2312" w:hAnsi="仿宋" w:eastAsia="仿宋_GB2312" w:cs="微软雅黑"/>
                <w:bCs/>
                <w:sz w:val="24"/>
                <w:szCs w:val="24"/>
                <w:vertAlign w:val="baseline"/>
              </w:rPr>
            </w:pPr>
          </w:p>
        </w:tc>
        <w:tc>
          <w:tcPr>
            <w:tcW w:w="1330" w:type="dxa"/>
            <w:vAlign w:val="center"/>
          </w:tcPr>
          <w:p w14:paraId="12E7C909">
            <w:pPr>
              <w:spacing w:line="360" w:lineRule="auto"/>
              <w:jc w:val="center"/>
              <w:rPr>
                <w:rFonts w:ascii="仿宋_GB2312" w:hAnsi="仿宋" w:eastAsia="仿宋_GB2312" w:cs="微软雅黑"/>
                <w:bCs/>
                <w:sz w:val="24"/>
                <w:szCs w:val="24"/>
                <w:vertAlign w:val="baseline"/>
              </w:rPr>
            </w:pPr>
          </w:p>
        </w:tc>
      </w:tr>
      <w:tr w14:paraId="43C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486" w:type="dxa"/>
            <w:vAlign w:val="center"/>
          </w:tcPr>
          <w:p w14:paraId="7F71995B">
            <w:pPr>
              <w:spacing w:line="360" w:lineRule="auto"/>
              <w:jc w:val="center"/>
              <w:rPr>
                <w:rFonts w:ascii="仿宋_GB2312" w:hAnsi="仿宋" w:eastAsia="仿宋_GB2312" w:cs="微软雅黑"/>
                <w:bCs/>
                <w:sz w:val="24"/>
                <w:szCs w:val="24"/>
                <w:vertAlign w:val="baseline"/>
              </w:rPr>
            </w:pPr>
          </w:p>
        </w:tc>
        <w:tc>
          <w:tcPr>
            <w:tcW w:w="1711" w:type="dxa"/>
            <w:vAlign w:val="center"/>
          </w:tcPr>
          <w:p w14:paraId="35B8C919">
            <w:pPr>
              <w:spacing w:line="360" w:lineRule="auto"/>
              <w:jc w:val="center"/>
              <w:rPr>
                <w:rFonts w:ascii="仿宋_GB2312" w:hAnsi="仿宋" w:eastAsia="仿宋_GB2312" w:cs="微软雅黑"/>
                <w:bCs/>
                <w:sz w:val="24"/>
                <w:szCs w:val="24"/>
                <w:vertAlign w:val="baseline"/>
              </w:rPr>
            </w:pPr>
          </w:p>
        </w:tc>
        <w:tc>
          <w:tcPr>
            <w:tcW w:w="1490" w:type="dxa"/>
            <w:vAlign w:val="center"/>
          </w:tcPr>
          <w:p w14:paraId="30F7BE09">
            <w:pPr>
              <w:spacing w:line="360" w:lineRule="auto"/>
              <w:jc w:val="center"/>
              <w:rPr>
                <w:rFonts w:ascii="仿宋_GB2312" w:hAnsi="仿宋" w:eastAsia="仿宋_GB2312" w:cs="微软雅黑"/>
                <w:bCs/>
                <w:sz w:val="24"/>
                <w:szCs w:val="24"/>
                <w:vertAlign w:val="baseline"/>
              </w:rPr>
            </w:pPr>
          </w:p>
        </w:tc>
        <w:tc>
          <w:tcPr>
            <w:tcW w:w="1330" w:type="dxa"/>
            <w:vAlign w:val="center"/>
          </w:tcPr>
          <w:p w14:paraId="1D99BA7B">
            <w:pPr>
              <w:spacing w:line="360" w:lineRule="auto"/>
              <w:jc w:val="center"/>
              <w:rPr>
                <w:rFonts w:ascii="仿宋_GB2312" w:hAnsi="仿宋" w:eastAsia="仿宋_GB2312" w:cs="微软雅黑"/>
                <w:bCs/>
                <w:sz w:val="24"/>
                <w:szCs w:val="24"/>
                <w:vertAlign w:val="baseline"/>
              </w:rPr>
            </w:pPr>
          </w:p>
        </w:tc>
        <w:tc>
          <w:tcPr>
            <w:tcW w:w="1330" w:type="dxa"/>
            <w:vAlign w:val="center"/>
          </w:tcPr>
          <w:p w14:paraId="18EDC4BB">
            <w:pPr>
              <w:spacing w:line="360" w:lineRule="auto"/>
              <w:jc w:val="center"/>
              <w:rPr>
                <w:rFonts w:ascii="仿宋_GB2312" w:hAnsi="仿宋" w:eastAsia="仿宋_GB2312" w:cs="微软雅黑"/>
                <w:bCs/>
                <w:sz w:val="24"/>
                <w:szCs w:val="24"/>
                <w:vertAlign w:val="baseline"/>
              </w:rPr>
            </w:pPr>
          </w:p>
        </w:tc>
      </w:tr>
      <w:tr w14:paraId="3BB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486"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1711"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490"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330" w:type="dxa"/>
            <w:vAlign w:val="center"/>
          </w:tcPr>
          <w:p w14:paraId="2BA2BEF6">
            <w:pPr>
              <w:spacing w:line="360" w:lineRule="auto"/>
              <w:jc w:val="center"/>
              <w:rPr>
                <w:rFonts w:ascii="仿宋_GB2312" w:hAnsi="仿宋" w:eastAsia="仿宋_GB2312" w:cs="微软雅黑"/>
                <w:bCs/>
                <w:sz w:val="24"/>
                <w:szCs w:val="24"/>
                <w:vertAlign w:val="baseline"/>
              </w:rPr>
            </w:pPr>
          </w:p>
        </w:tc>
        <w:tc>
          <w:tcPr>
            <w:tcW w:w="1330" w:type="dxa"/>
            <w:vAlign w:val="center"/>
          </w:tcPr>
          <w:p w14:paraId="6E22ADD1">
            <w:pPr>
              <w:spacing w:line="360" w:lineRule="auto"/>
              <w:jc w:val="center"/>
              <w:rPr>
                <w:rFonts w:ascii="仿宋_GB2312" w:hAnsi="仿宋" w:eastAsia="仿宋_GB2312" w:cs="微软雅黑"/>
                <w:bCs/>
                <w:sz w:val="24"/>
                <w:szCs w:val="24"/>
                <w:vertAlign w:val="baseline"/>
              </w:rPr>
            </w:pPr>
          </w:p>
        </w:tc>
      </w:tr>
      <w:tr w14:paraId="241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486"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1711"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490"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330" w:type="dxa"/>
            <w:vAlign w:val="center"/>
          </w:tcPr>
          <w:p w14:paraId="2691D1D8">
            <w:pPr>
              <w:spacing w:line="360" w:lineRule="auto"/>
              <w:jc w:val="center"/>
              <w:rPr>
                <w:rFonts w:ascii="仿宋_GB2312" w:hAnsi="仿宋" w:eastAsia="仿宋_GB2312" w:cs="微软雅黑"/>
                <w:bCs/>
                <w:sz w:val="24"/>
                <w:szCs w:val="24"/>
                <w:vertAlign w:val="baseline"/>
              </w:rPr>
            </w:pPr>
          </w:p>
        </w:tc>
        <w:tc>
          <w:tcPr>
            <w:tcW w:w="1330" w:type="dxa"/>
            <w:vAlign w:val="center"/>
          </w:tcPr>
          <w:p w14:paraId="5AA5508D">
            <w:pPr>
              <w:spacing w:line="360" w:lineRule="auto"/>
              <w:jc w:val="center"/>
              <w:rPr>
                <w:rFonts w:ascii="仿宋_GB2312" w:hAnsi="仿宋" w:eastAsia="仿宋_GB2312" w:cs="微软雅黑"/>
                <w:bCs/>
                <w:sz w:val="24"/>
                <w:szCs w:val="24"/>
                <w:vertAlign w:val="baseline"/>
              </w:rPr>
            </w:pPr>
          </w:p>
        </w:tc>
      </w:tr>
      <w:tr w14:paraId="2295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275"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4531" w:type="dxa"/>
            <w:gridSpan w:val="3"/>
            <w:vAlign w:val="center"/>
          </w:tcPr>
          <w:p w14:paraId="14E74589">
            <w:pPr>
              <w:spacing w:line="360" w:lineRule="auto"/>
              <w:jc w:val="center"/>
              <w:rPr>
                <w:rFonts w:ascii="仿宋_GB2312" w:hAnsi="仿宋" w:eastAsia="仿宋_GB2312" w:cs="微软雅黑"/>
                <w:bCs/>
                <w:sz w:val="24"/>
                <w:szCs w:val="24"/>
                <w:vertAlign w:val="baseline"/>
              </w:rPr>
            </w:pPr>
          </w:p>
        </w:tc>
        <w:tc>
          <w:tcPr>
            <w:tcW w:w="1330" w:type="dxa"/>
            <w:vAlign w:val="center"/>
          </w:tcPr>
          <w:p w14:paraId="285521C6">
            <w:pPr>
              <w:spacing w:line="360" w:lineRule="auto"/>
              <w:jc w:val="center"/>
              <w:rPr>
                <w:rFonts w:ascii="仿宋_GB2312" w:hAnsi="仿宋" w:eastAsia="仿宋_GB2312" w:cs="微软雅黑"/>
                <w:bCs/>
                <w:sz w:val="24"/>
                <w:szCs w:val="24"/>
                <w:vertAlign w:val="baseline"/>
              </w:rPr>
            </w:pPr>
          </w:p>
        </w:tc>
      </w:tr>
    </w:tbl>
    <w:p w14:paraId="6D6EDFCA">
      <w:pPr>
        <w:spacing w:line="360" w:lineRule="auto"/>
        <w:jc w:val="center"/>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0631358B">
      <w:pPr>
        <w:spacing w:line="420" w:lineRule="auto"/>
        <w:jc w:val="right"/>
        <w:rPr>
          <w:rFonts w:hint="eastAsia" w:ascii="仿宋" w:hAnsi="仿宋" w:eastAsia="仿宋"/>
          <w:color w:val="000000"/>
          <w:sz w:val="24"/>
          <w:szCs w:val="32"/>
        </w:rPr>
      </w:pPr>
      <w:r>
        <w:rPr>
          <w:rFonts w:hint="eastAsia" w:ascii="仿宋" w:hAnsi="仿宋" w:eastAsia="仿宋"/>
          <w:color w:val="000000"/>
          <w:sz w:val="24"/>
          <w:szCs w:val="32"/>
        </w:rPr>
        <w:t>日期：</w:t>
      </w:r>
      <w:r>
        <w:rPr>
          <w:rFonts w:ascii="仿宋" w:hAnsi="仿宋" w:eastAsia="仿宋"/>
          <w:color w:val="000000"/>
          <w:sz w:val="24"/>
          <w:szCs w:val="32"/>
        </w:rPr>
        <w:t>202</w:t>
      </w:r>
      <w:r>
        <w:rPr>
          <w:rFonts w:hint="eastAsia" w:ascii="仿宋" w:hAnsi="仿宋" w:eastAsia="仿宋"/>
          <w:color w:val="000000"/>
          <w:sz w:val="24"/>
          <w:szCs w:val="32"/>
          <w:lang w:val="en-US" w:eastAsia="zh-CN"/>
        </w:rPr>
        <w:t>5</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2A4428DE">
      <w:pPr>
        <w:spacing w:line="420" w:lineRule="auto"/>
        <w:jc w:val="right"/>
        <w:rPr>
          <w:rFonts w:hint="eastAsia" w:ascii="仿宋" w:hAnsi="仿宋" w:eastAsia="仿宋"/>
          <w:color w:val="000000"/>
          <w:sz w:val="24"/>
          <w:szCs w:val="32"/>
        </w:rPr>
      </w:pPr>
    </w:p>
    <w:p w14:paraId="3DA3968A">
      <w:pPr>
        <w:spacing w:line="420" w:lineRule="auto"/>
        <w:jc w:val="right"/>
        <w:rPr>
          <w:rFonts w:hint="eastAsia" w:ascii="仿宋" w:hAnsi="仿宋" w:eastAsia="仿宋"/>
          <w:color w:val="000000"/>
          <w:sz w:val="24"/>
          <w:szCs w:val="32"/>
        </w:rPr>
      </w:pPr>
    </w:p>
    <w:p w14:paraId="3340F869">
      <w:pPr>
        <w:spacing w:line="420" w:lineRule="auto"/>
        <w:jc w:val="right"/>
        <w:rPr>
          <w:rFonts w:hint="eastAsia" w:ascii="仿宋" w:hAnsi="仿宋" w:eastAsia="仿宋"/>
          <w:color w:val="000000"/>
          <w:sz w:val="24"/>
          <w:szCs w:val="32"/>
        </w:rPr>
      </w:pPr>
    </w:p>
    <w:p w14:paraId="200500E5">
      <w:pPr>
        <w:spacing w:line="420" w:lineRule="auto"/>
        <w:jc w:val="right"/>
        <w:rPr>
          <w:rFonts w:hint="eastAsia" w:ascii="仿宋" w:hAnsi="仿宋" w:eastAsia="仿宋"/>
          <w:color w:val="000000"/>
          <w:sz w:val="24"/>
          <w:szCs w:val="32"/>
        </w:rPr>
      </w:pPr>
    </w:p>
    <w:p w14:paraId="2BB9482C">
      <w:pPr>
        <w:spacing w:line="420" w:lineRule="auto"/>
        <w:jc w:val="right"/>
        <w:rPr>
          <w:rFonts w:hint="eastAsia" w:ascii="仿宋" w:hAnsi="仿宋" w:eastAsia="仿宋"/>
          <w:color w:val="000000"/>
          <w:sz w:val="24"/>
          <w:szCs w:val="32"/>
        </w:rPr>
      </w:pPr>
    </w:p>
    <w:p w14:paraId="3DF58928">
      <w:pPr>
        <w:spacing w:line="420" w:lineRule="auto"/>
        <w:jc w:val="right"/>
        <w:rPr>
          <w:rFonts w:hint="eastAsia" w:ascii="仿宋" w:hAnsi="仿宋" w:eastAsia="仿宋"/>
          <w:color w:val="000000"/>
          <w:sz w:val="24"/>
          <w:szCs w:val="32"/>
        </w:rPr>
      </w:pPr>
    </w:p>
    <w:p w14:paraId="03F4B856">
      <w:pPr>
        <w:spacing w:line="420" w:lineRule="auto"/>
        <w:jc w:val="right"/>
        <w:rPr>
          <w:rFonts w:hint="eastAsia" w:ascii="仿宋" w:hAnsi="仿宋" w:eastAsia="仿宋"/>
          <w:color w:val="000000"/>
          <w:sz w:val="24"/>
          <w:szCs w:val="32"/>
        </w:rPr>
      </w:pPr>
    </w:p>
    <w:sectPr>
      <w:pgSz w:w="11906" w:h="16838"/>
      <w:pgMar w:top="1440" w:right="10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2686619"/>
    <w:rsid w:val="0A3F6383"/>
    <w:rsid w:val="103E0032"/>
    <w:rsid w:val="12314607"/>
    <w:rsid w:val="14262AE8"/>
    <w:rsid w:val="15E45039"/>
    <w:rsid w:val="1A7F41C1"/>
    <w:rsid w:val="1C0C56CA"/>
    <w:rsid w:val="1D091930"/>
    <w:rsid w:val="1FC879CE"/>
    <w:rsid w:val="2681071E"/>
    <w:rsid w:val="26F011BF"/>
    <w:rsid w:val="27E654B9"/>
    <w:rsid w:val="292A4EAE"/>
    <w:rsid w:val="2B1C105D"/>
    <w:rsid w:val="2B3001BC"/>
    <w:rsid w:val="2CBA2A54"/>
    <w:rsid w:val="399614F3"/>
    <w:rsid w:val="47570EA5"/>
    <w:rsid w:val="47EA03B2"/>
    <w:rsid w:val="4ECC6781"/>
    <w:rsid w:val="512A5408"/>
    <w:rsid w:val="5B151FDB"/>
    <w:rsid w:val="5FAB2A45"/>
    <w:rsid w:val="6C5401BE"/>
    <w:rsid w:val="6DE46C2D"/>
    <w:rsid w:val="6DF91E73"/>
    <w:rsid w:val="6EC66318"/>
    <w:rsid w:val="6EDD2502"/>
    <w:rsid w:val="6F3F342B"/>
    <w:rsid w:val="6F5F0036"/>
    <w:rsid w:val="72A07425"/>
    <w:rsid w:val="76031000"/>
    <w:rsid w:val="776A4B83"/>
    <w:rsid w:val="7BDC717B"/>
    <w:rsid w:val="7E627D9B"/>
    <w:rsid w:val="7F2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2049</Words>
  <Characters>2156</Characters>
  <Lines>0</Lines>
  <Paragraphs>0</Paragraphs>
  <TotalTime>1</TotalTime>
  <ScaleCrop>false</ScaleCrop>
  <LinksUpToDate>false</LinksUpToDate>
  <CharactersWithSpaces>2245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WPS_1509190672</cp:lastModifiedBy>
  <dcterms:modified xsi:type="dcterms:W3CDTF">2025-07-25T00:31:13Z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6CFB2CADB55F442B8244AA7F7D9DE69B_13</vt:lpwstr>
  </property>
  <property fmtid="{D5CDD505-2E9C-101B-9397-08002B2CF9AE}" pid="4" name="KSOTemplateDocerSaveRecord">
    <vt:lpwstr>eyJoZGlkIjoiZGUyMDExNWNhY2JkNDI3YjRmOTk4Y2QzMWZmYzExYmEiLCJ1c2VySWQiOiIzMTc3MzYzNDEifQ==</vt:lpwstr>
  </property>
</Properties>
</file>